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A4" w:rsidRPr="003C06F8" w:rsidRDefault="005B5D1F" w:rsidP="00885D54">
      <w:pPr>
        <w:pStyle w:val="3"/>
        <w:spacing w:before="0" w:beforeAutospacing="0" w:after="0" w:afterAutospacing="0"/>
        <w:ind w:left="4956"/>
        <w:rPr>
          <w:b w:val="0"/>
          <w:sz w:val="28"/>
          <w:szCs w:val="28"/>
          <w:lang w:val="uk-UA"/>
        </w:rPr>
      </w:pPr>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w:t>
      </w:r>
      <w:proofErr w:type="spellStart"/>
      <w:r w:rsidR="00C5693C" w:rsidRPr="003C06F8">
        <w:rPr>
          <w:b w:val="0"/>
          <w:sz w:val="28"/>
          <w:lang w:val="uk-UA"/>
        </w:rPr>
        <w:t>карнетів</w:t>
      </w:r>
      <w:proofErr w:type="spellEnd"/>
      <w:r w:rsidR="00C5693C" w:rsidRPr="003C06F8">
        <w:rPr>
          <w:b w:val="0"/>
          <w:sz w:val="28"/>
          <w:lang w:val="uk-UA"/>
        </w:rPr>
        <w:t xml:space="preserve">)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bookmarkStart w:id="0" w:name="_GoBack"/>
      <w:bookmarkEnd w:id="0"/>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firstRow="1" w:lastRow="0" w:firstColumn="1" w:lastColumn="0" w:noHBand="0" w:noVBand="1"/>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від 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xml:space="preserve">, що </w:t>
      </w:r>
      <w:proofErr w:type="spellStart"/>
      <w:r w:rsidR="00122E37" w:rsidRPr="003C06F8">
        <w:rPr>
          <w:rFonts w:ascii="Times New Roman" w:hAnsi="Times New Roman" w:cs="Times New Roman"/>
          <w:sz w:val="28"/>
          <w:szCs w:val="28"/>
        </w:rPr>
        <w:t>адмініструються</w:t>
      </w:r>
      <w:proofErr w:type="spellEnd"/>
      <w:r w:rsidR="00122E37" w:rsidRPr="003C06F8">
        <w:rPr>
          <w:rFonts w:ascii="Times New Roman" w:hAnsi="Times New Roman" w:cs="Times New Roman"/>
          <w:sz w:val="28"/>
          <w:szCs w:val="28"/>
        </w:rPr>
        <w:t xml:space="preserve">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xml:space="preserve">, що </w:t>
      </w:r>
      <w:proofErr w:type="spellStart"/>
      <w:r w:rsidR="00226B49" w:rsidRPr="003C06F8">
        <w:rPr>
          <w:rFonts w:ascii="Times New Roman" w:eastAsia="Times New Roman" w:hAnsi="Times New Roman" w:cs="Times New Roman"/>
          <w:sz w:val="28"/>
          <w:szCs w:val="28"/>
        </w:rPr>
        <w:t>адмініструються</w:t>
      </w:r>
      <w:proofErr w:type="spellEnd"/>
      <w:r w:rsidR="00226B49" w:rsidRPr="003C06F8">
        <w:rPr>
          <w:rFonts w:ascii="Times New Roman" w:eastAsia="Times New Roman" w:hAnsi="Times New Roman" w:cs="Times New Roman"/>
          <w:sz w:val="28"/>
          <w:szCs w:val="28"/>
        </w:rPr>
        <w:t xml:space="preserve">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у реквізиті «Призначення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4819E0">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firstRow="1" w:lastRow="0" w:firstColumn="1" w:lastColumn="0" w:noHBand="0" w:noVBand="1"/>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firstRow="1" w:lastRow="0" w:firstColumn="1" w:lastColumn="0" w:noHBand="0" w:noVBand="1"/>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UA445566887799112233554466445</w:t>
            </w:r>
          </w:p>
        </w:tc>
        <w:tc>
          <w:tcPr>
            <w:tcW w:w="1134" w:type="dxa"/>
          </w:tcPr>
          <w:p w:rsidR="00E777F2" w:rsidRPr="003C06F8" w:rsidRDefault="00E777F2" w:rsidP="005D2F7B">
            <w:pPr>
              <w:pStyle w:val="a3"/>
              <w:spacing w:before="0" w:beforeAutospacing="0" w:after="0" w:afterAutospacing="0"/>
              <w:jc w:val="both"/>
            </w:pPr>
            <w:r w:rsidRPr="003C06F8">
              <w:t>2000,00</w:t>
            </w:r>
          </w:p>
        </w:tc>
        <w:tc>
          <w:tcPr>
            <w:tcW w:w="2126" w:type="dxa"/>
          </w:tcPr>
          <w:p w:rsidR="00E777F2" w:rsidRDefault="00E777F2" w:rsidP="003B389D">
            <w:pPr>
              <w:pStyle w:val="a3"/>
              <w:spacing w:before="0" w:beforeAutospacing="0" w:after="0" w:afterAutospacing="0"/>
            </w:pPr>
            <w:r w:rsidRPr="003C06F8">
              <w:t xml:space="preserve">земельний 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firstRow="1" w:lastRow="0" w:firstColumn="1" w:lastColumn="0" w:noHBand="0" w:noVBand="1"/>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firstRow="1" w:lastRow="0" w:firstColumn="1" w:lastColumn="0" w:noHBand="0" w:noVBand="1"/>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firstRow="1" w:lastRow="0" w:firstColumn="1" w:lastColumn="0" w:noHBand="0" w:noVBand="1"/>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 xml:space="preserve">код або </w:t>
      </w:r>
      <w:proofErr w:type="spellStart"/>
      <w:r w:rsidR="007849E3" w:rsidRPr="00FE3B5F">
        <w:rPr>
          <w:spacing w:val="-2"/>
          <w:sz w:val="28"/>
        </w:rPr>
        <w:t>пропрієтарне</w:t>
      </w:r>
      <w:proofErr w:type="spellEnd"/>
      <w:r w:rsidR="007849E3" w:rsidRPr="00FE3B5F">
        <w:rPr>
          <w:spacing w:val="-2"/>
          <w:sz w:val="28"/>
        </w:rPr>
        <w:t xml:space="preserve"> (власне) значення /</w:t>
      </w:r>
      <w:r w:rsidR="007849E3" w:rsidRPr="007849E3">
        <w:rPr>
          <w:sz w:val="28"/>
        </w:rPr>
        <w:t xml:space="preserve"> </w:t>
      </w:r>
      <w:proofErr w:type="spellStart"/>
      <w:r w:rsidR="007849E3" w:rsidRPr="007849E3">
        <w:rPr>
          <w:sz w:val="28"/>
        </w:rPr>
        <w:t>пропрієтарне</w:t>
      </w:r>
      <w:proofErr w:type="spellEnd"/>
      <w:r w:rsidR="007849E3" w:rsidRPr="007849E3">
        <w:rPr>
          <w:sz w:val="28"/>
        </w:rPr>
        <w:t xml:space="preserve">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w:t>
      </w:r>
      <w:proofErr w:type="spellStart"/>
      <w:r w:rsidR="00155AF7" w:rsidRPr="003C06F8">
        <w:rPr>
          <w:sz w:val="28"/>
        </w:rPr>
        <w:t>зобов</w:t>
      </w:r>
      <w:proofErr w:type="spellEnd"/>
      <w:r w:rsidR="00155AF7" w:rsidRPr="003C06F8">
        <w:rPr>
          <w:sz w:val="28"/>
          <w:lang w:val="ru-RU"/>
        </w:rPr>
        <w:t>’</w:t>
      </w:r>
      <w:proofErr w:type="spellStart"/>
      <w:r w:rsidR="00155AF7" w:rsidRPr="003C06F8">
        <w:rPr>
          <w:sz w:val="28"/>
        </w:rPr>
        <w:t>язан</w:t>
      </w:r>
      <w:r w:rsidR="00F86B47" w:rsidRPr="003C06F8">
        <w:rPr>
          <w:sz w:val="28"/>
        </w:rPr>
        <w:t>ь</w:t>
      </w:r>
      <w:proofErr w:type="spellEnd"/>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firstRow="1" w:lastRow="0" w:firstColumn="1" w:lastColumn="0" w:noHBand="0" w:noVBand="1"/>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w:t>
            </w:r>
            <w:proofErr w:type="spellStart"/>
            <w:r w:rsidR="00450390" w:rsidRPr="00450390">
              <w:t>пропрієтарне</w:t>
            </w:r>
            <w:proofErr w:type="spellEnd"/>
            <w:r w:rsidR="00450390" w:rsidRPr="00450390">
              <w:t xml:space="preserve"> (власне) значення </w:t>
            </w:r>
            <w:r w:rsidR="00450390">
              <w:t xml:space="preserve">/ </w:t>
            </w:r>
            <w:proofErr w:type="spellStart"/>
            <w:r w:rsidR="00450390">
              <w:t>п</w:t>
            </w:r>
            <w:r w:rsidR="00450390" w:rsidRPr="00450390">
              <w:t>ропрієтарне</w:t>
            </w:r>
            <w:proofErr w:type="spellEnd"/>
            <w:r w:rsidR="00450390" w:rsidRPr="00450390">
              <w:t xml:space="preserve">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 xml:space="preserve">повернення грошових </w:t>
            </w:r>
            <w:proofErr w:type="spellStart"/>
            <w:r>
              <w:t>зобов</w:t>
            </w:r>
            <w:proofErr w:type="spellEnd"/>
            <w:r w:rsidRPr="00A37C6F">
              <w:rPr>
                <w:lang w:val="ru-RU"/>
              </w:rPr>
              <w:t>’</w:t>
            </w:r>
            <w:proofErr w:type="spellStart"/>
            <w:r>
              <w:t>яз</w:t>
            </w:r>
            <w:r>
              <w:rPr>
                <w:lang w:val="ru-RU"/>
              </w:rPr>
              <w:t>ань</w:t>
            </w:r>
            <w:proofErr w:type="spellEnd"/>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 xml:space="preserve">перерахування грошових </w:t>
            </w:r>
            <w:proofErr w:type="spellStart"/>
            <w:r>
              <w:t>зобов</w:t>
            </w:r>
            <w:proofErr w:type="spellEnd"/>
            <w:r w:rsidRPr="00A37C6F">
              <w:rPr>
                <w:lang w:val="ru-RU"/>
              </w:rPr>
              <w:t>’</w:t>
            </w:r>
            <w:proofErr w:type="spellStart"/>
            <w:r>
              <w:t>язань</w:t>
            </w:r>
            <w:proofErr w:type="spellEnd"/>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 xml:space="preserve">од або </w:t>
      </w:r>
      <w:proofErr w:type="spellStart"/>
      <w:r w:rsidR="00403AEE" w:rsidRPr="00403AEE">
        <w:rPr>
          <w:sz w:val="28"/>
        </w:rPr>
        <w:t>пропрієтарне</w:t>
      </w:r>
      <w:proofErr w:type="spellEnd"/>
      <w:r w:rsidR="00403AEE" w:rsidRPr="00403AEE">
        <w:rPr>
          <w:sz w:val="28"/>
        </w:rPr>
        <w:t xml:space="preserve"> (власне) значення / </w:t>
      </w:r>
      <w:proofErr w:type="spellStart"/>
      <w:r w:rsidR="00403AEE" w:rsidRPr="00403AEE">
        <w:rPr>
          <w:sz w:val="28"/>
        </w:rPr>
        <w:t>пропрієтарне</w:t>
      </w:r>
      <w:proofErr w:type="spellEnd"/>
      <w:r w:rsidR="00403AEE" w:rsidRPr="00403AEE">
        <w:rPr>
          <w:sz w:val="28"/>
        </w:rPr>
        <w:t xml:space="preserve">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firstRow="1" w:lastRow="0" w:firstColumn="1" w:lastColumn="0" w:noHBand="0" w:noVBand="1"/>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w:t>
            </w:r>
            <w:proofErr w:type="spellStart"/>
            <w:r w:rsidR="004819E0" w:rsidRPr="004819E0">
              <w:t>пропрієтарне</w:t>
            </w:r>
            <w:proofErr w:type="spellEnd"/>
            <w:r w:rsidR="004819E0" w:rsidRPr="004819E0">
              <w:t xml:space="preserve"> (власне) значення </w:t>
            </w:r>
            <w:r w:rsidR="00D1050E" w:rsidRPr="00D1050E">
              <w:t xml:space="preserve">/ </w:t>
            </w:r>
            <w:proofErr w:type="spellStart"/>
            <w:r w:rsidR="00D1050E" w:rsidRPr="00D1050E">
              <w:t>пропрієтарне</w:t>
            </w:r>
            <w:proofErr w:type="spellEnd"/>
            <w:r w:rsidR="00D1050E" w:rsidRPr="00D1050E">
              <w:t xml:space="preserve">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9"/>
      <w:pgSz w:w="11906" w:h="16838"/>
      <w:pgMar w:top="993" w:right="567" w:bottom="1588" w:left="1701" w:header="79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03" w:rsidRDefault="00223803" w:rsidP="002323A1">
      <w:pPr>
        <w:spacing w:after="0" w:line="240" w:lineRule="auto"/>
      </w:pPr>
      <w:r>
        <w:separator/>
      </w:r>
    </w:p>
  </w:endnote>
  <w:endnote w:type="continuationSeparator" w:id="0">
    <w:p w:rsidR="00223803" w:rsidRDefault="00223803" w:rsidP="002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03" w:rsidRDefault="00223803" w:rsidP="002323A1">
      <w:pPr>
        <w:spacing w:after="0" w:line="240" w:lineRule="auto"/>
      </w:pPr>
      <w:r>
        <w:separator/>
      </w:r>
    </w:p>
  </w:footnote>
  <w:footnote w:type="continuationSeparator" w:id="0">
    <w:p w:rsidR="00223803" w:rsidRDefault="00223803" w:rsidP="0023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FE3B5F">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EC5C62">
          <w:rPr>
            <w:rFonts w:ascii="Times New Roman" w:hAnsi="Times New Roman" w:cs="Times New Roman"/>
            <w:noProof/>
            <w:sz w:val="24"/>
            <w:szCs w:val="24"/>
          </w:rPr>
          <w:t>15</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D849-894B-4541-9431-536C4A5B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17777</Words>
  <Characters>10134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НІЗАМОВА АЛІЯ НАЛІКОВНА</cp:lastModifiedBy>
  <cp:revision>3</cp:revision>
  <cp:lastPrinted>2023-02-17T12:17:00Z</cp:lastPrinted>
  <dcterms:created xsi:type="dcterms:W3CDTF">2023-03-31T05:20:00Z</dcterms:created>
  <dcterms:modified xsi:type="dcterms:W3CDTF">2023-03-31T13:32:00Z</dcterms:modified>
</cp:coreProperties>
</file>