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3FDE3" w14:textId="77777777" w:rsidR="00773643" w:rsidRDefault="007E4FCB" w:rsidP="00773643">
      <w:pPr>
        <w:jc w:val="center"/>
      </w:pPr>
      <w:r>
        <w:rPr>
          <w:noProof/>
          <w:lang w:eastAsia="uk-UA"/>
        </w:rPr>
        <w:drawing>
          <wp:anchor distT="0" distB="0" distL="114300" distR="114300" simplePos="0" relativeHeight="251667456" behindDoc="0" locked="0" layoutInCell="1" allowOverlap="1" wp14:anchorId="27607B82" wp14:editId="3B6EE51F">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14:anchorId="2858A743" wp14:editId="6C157660">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CF18C3"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2BF5C7FC"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0F05CB8B"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6C5E416D"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14:paraId="28CF18C3"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2BF5C7FC"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0F05CB8B"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6C5E416D" w14:textId="77777777"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14:anchorId="0E6B3431" wp14:editId="41BE0442">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14:paraId="0C7F9BB3" w14:textId="6BB2B56B" w:rsidR="00773643" w:rsidRDefault="00F22673" w:rsidP="00773643">
      <w:pPr>
        <w:jc w:val="center"/>
      </w:pPr>
      <w:r w:rsidRPr="00773643">
        <w:rPr>
          <w:noProof/>
        </w:rPr>
        <mc:AlternateContent>
          <mc:Choice Requires="wps">
            <w:drawing>
              <wp:anchor distT="0" distB="0" distL="114300" distR="114300" simplePos="0" relativeHeight="251660288" behindDoc="0" locked="0" layoutInCell="1" allowOverlap="1" wp14:anchorId="31B62441" wp14:editId="24C27CDD">
                <wp:simplePos x="0" y="0"/>
                <wp:positionH relativeFrom="margin">
                  <wp:align>center</wp:align>
                </wp:positionH>
                <wp:positionV relativeFrom="paragraph">
                  <wp:posOffset>304800</wp:posOffset>
                </wp:positionV>
                <wp:extent cx="6385560" cy="56388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64184"/>
                        </a:xfrm>
                        <a:prstGeom prst="rect">
                          <a:avLst/>
                        </a:prstGeom>
                      </wps:spPr>
                      <wps:txbx>
                        <w:txbxContent>
                          <w:p w14:paraId="50FF0D9F" w14:textId="2BA35508" w:rsidR="00773643" w:rsidRPr="00F22673" w:rsidRDefault="00C430C0" w:rsidP="00C430C0">
                            <w:pPr>
                              <w:pStyle w:val="1"/>
                              <w:spacing w:before="0" w:beforeAutospacing="0" w:after="0" w:afterAutospacing="0"/>
                              <w:jc w:val="center"/>
                              <w:rPr>
                                <w:sz w:val="30"/>
                                <w:szCs w:val="30"/>
                              </w:rPr>
                            </w:pPr>
                            <w:r w:rsidRPr="00F22673">
                              <w:rPr>
                                <w:rFonts w:eastAsiaTheme="minorHAnsi"/>
                                <w:kern w:val="0"/>
                                <w:sz w:val="30"/>
                                <w:szCs w:val="30"/>
                                <w:lang w:eastAsia="en-US"/>
                              </w:rPr>
                              <w:t>Особа з інвалідністю І або ІІ групи має право на підвищену ПСП</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0;margin-top:24pt;width:502.8pt;height:44.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" filled="f" stroked="f">
                <v:path arrowok="t"/>
                <o:lock v:ext="edit" grouping="t"/>
                <v:textbox>
                  <w:txbxContent>
                    <w:p w14:paraId="50FF0D9F" w14:textId="2BA35508" w:rsidR="00773643" w:rsidRPr="00F22673" w:rsidRDefault="00C430C0" w:rsidP="00C430C0">
                      <w:pPr>
                        <w:pStyle w:val="1"/>
                        <w:spacing w:before="0" w:beforeAutospacing="0" w:after="0" w:afterAutospacing="0"/>
                        <w:jc w:val="center"/>
                        <w:rPr>
                          <w:sz w:val="30"/>
                          <w:szCs w:val="30"/>
                        </w:rPr>
                      </w:pPr>
                      <w:r w:rsidRPr="00F22673">
                        <w:rPr>
                          <w:rFonts w:eastAsiaTheme="minorHAnsi"/>
                          <w:kern w:val="0"/>
                          <w:sz w:val="30"/>
                          <w:szCs w:val="30"/>
                          <w:lang w:eastAsia="en-US"/>
                        </w:rPr>
                        <w:t>Особа з інвалідністю І або ІІ групи має право на підвищену ПСП</w:t>
                      </w:r>
                    </w:p>
                  </w:txbxContent>
                </v:textbox>
                <w10:wrap anchorx="margin"/>
              </v:rect>
            </w:pict>
          </mc:Fallback>
        </mc:AlternateContent>
      </w:r>
    </w:p>
    <w:p w14:paraId="562CBA1D" w14:textId="5D0D8BA2" w:rsidR="001D2BB4" w:rsidRDefault="001D2BB4" w:rsidP="00F22673">
      <w:pPr>
        <w:pStyle w:val="a3"/>
        <w:jc w:val="both"/>
        <w:rPr>
          <w:rFonts w:eastAsia="Times New Roman"/>
        </w:rPr>
      </w:pPr>
    </w:p>
    <w:p w14:paraId="543CDE36" w14:textId="77777777" w:rsidR="00F22673" w:rsidRDefault="00F22673" w:rsidP="00F22673">
      <w:pPr>
        <w:pStyle w:val="a3"/>
        <w:shd w:val="clear" w:color="auto" w:fill="FFFFFF"/>
        <w:spacing w:before="0" w:beforeAutospacing="0" w:after="0" w:afterAutospacing="0"/>
        <w:jc w:val="both"/>
        <w:textAlignment w:val="baseline"/>
        <w:rPr>
          <w:rFonts w:eastAsia="Times New Roman"/>
          <w:color w:val="000000"/>
          <w:sz w:val="26"/>
          <w:szCs w:val="26"/>
          <w:lang w:val="en-US"/>
        </w:rPr>
      </w:pPr>
    </w:p>
    <w:p w14:paraId="7CCCF3B0" w14:textId="77777777" w:rsidR="00F22673" w:rsidRPr="00F22673" w:rsidRDefault="00C430C0" w:rsidP="00F22673">
      <w:pPr>
        <w:pStyle w:val="a3"/>
        <w:shd w:val="clear" w:color="auto" w:fill="FFFFFF"/>
        <w:spacing w:before="0" w:beforeAutospacing="0" w:after="0" w:afterAutospacing="0"/>
        <w:jc w:val="both"/>
        <w:textAlignment w:val="baseline"/>
        <w:rPr>
          <w:rFonts w:eastAsia="Times New Roman"/>
          <w:color w:val="000000"/>
          <w:sz w:val="26"/>
          <w:szCs w:val="26"/>
        </w:rPr>
      </w:pPr>
      <w:bookmarkStart w:id="0" w:name="_GoBack"/>
      <w:bookmarkEnd w:id="0"/>
      <w:r w:rsidRPr="00C430C0">
        <w:rPr>
          <w:rFonts w:eastAsia="Times New Roman"/>
          <w:color w:val="000000"/>
          <w:sz w:val="26"/>
          <w:szCs w:val="26"/>
        </w:rPr>
        <w:t>Надання податкових соціальних пільг (ПСП) передбачено ст. 169 Податкового кодексу України (далі – ПКУ).</w:t>
      </w:r>
      <w:r w:rsidR="00F22673" w:rsidRPr="00F22673">
        <w:rPr>
          <w:rFonts w:eastAsia="Times New Roman"/>
          <w:color w:val="000000"/>
          <w:sz w:val="26"/>
          <w:szCs w:val="26"/>
          <w:lang w:val="ru-RU"/>
        </w:rPr>
        <w:t xml:space="preserve"> </w:t>
      </w:r>
      <w:r w:rsidR="00F22673" w:rsidRPr="00F22673">
        <w:rPr>
          <w:rFonts w:eastAsia="Times New Roman"/>
          <w:color w:val="000000"/>
          <w:sz w:val="26"/>
          <w:szCs w:val="26"/>
        </w:rPr>
        <w:t>Граничний дохід у 2021 році, який дає право на застосування ПСП, становить 3180,0 грн. (Місячний прожитковий мінімум для працездатної особи 2270,0 грн. х 1,4).</w:t>
      </w:r>
    </w:p>
    <w:p w14:paraId="5DAD9AED" w14:textId="77777777" w:rsidR="00F22673" w:rsidRPr="00F22673" w:rsidRDefault="00F22673" w:rsidP="00F22673">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uk-UA"/>
        </w:rPr>
      </w:pPr>
      <w:r w:rsidRPr="00F22673">
        <w:rPr>
          <w:rFonts w:ascii="Times New Roman" w:eastAsia="Times New Roman" w:hAnsi="Times New Roman" w:cs="Times New Roman"/>
          <w:color w:val="000000"/>
          <w:sz w:val="26"/>
          <w:szCs w:val="26"/>
          <w:lang w:eastAsia="uk-UA"/>
        </w:rPr>
        <w:t>Підпунктом 169.1.1 п. 169.1 ст. 169 ПКУ встановлено, що будь-який платник ПДФО має право на зменшення суми загального місячного оподатковуваного доходу, отримуваного від одного роботодавця у вигляді заробітної плати, на суму ПСП у розмірі, що дорівнює 50 відсоткам розміру прожиткового мінімуму для працездатної особи (у розрахунку на місяць), встановленому законом на 1 січня звітного податкового року - 1135,0 грн. ( 2270,0 х 50%).</w:t>
      </w:r>
    </w:p>
    <w:p w14:paraId="681D56D4" w14:textId="77777777" w:rsidR="00F22673" w:rsidRPr="00F22673" w:rsidRDefault="00F22673" w:rsidP="00F22673">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uk-UA"/>
        </w:rPr>
      </w:pPr>
      <w:r w:rsidRPr="00F22673">
        <w:rPr>
          <w:rFonts w:ascii="Times New Roman" w:eastAsia="Times New Roman" w:hAnsi="Times New Roman" w:cs="Times New Roman"/>
          <w:color w:val="000000"/>
          <w:sz w:val="26"/>
          <w:szCs w:val="26"/>
          <w:lang w:eastAsia="uk-UA"/>
        </w:rPr>
        <w:t>З урахуванням норм пп. 169.4.1 п. 169.4 ст.169 ПКУ платник податку на доходи фізичних осіб (ПДФО) має право на зменшення суми загального місячного оподатковуваного доходу, отримуваного від одного роботодавця у вигляді заробітної плати, на суму ПСП у розмірі, що дорівнює 150 відсоткам суми пільги (1702,50 грн.), визначеної пп. 169.1.1 п. 169.1 ст. 169 ПКУ, для такого платника ПДФО, який є особою з інвалідністю I або II групи, у тому числі з дитинства, </w:t>
      </w:r>
      <w:r w:rsidRPr="00F22673">
        <w:rPr>
          <w:rFonts w:ascii="Times New Roman" w:eastAsia="Times New Roman" w:hAnsi="Times New Roman" w:cs="Times New Roman"/>
          <w:i/>
          <w:iCs/>
          <w:color w:val="000000"/>
          <w:sz w:val="26"/>
          <w:szCs w:val="26"/>
          <w:bdr w:val="none" w:sz="0" w:space="0" w:color="auto" w:frame="1"/>
          <w:lang w:eastAsia="uk-UA"/>
        </w:rPr>
        <w:t>крім осіб з інвалідністю</w:t>
      </w:r>
      <w:r w:rsidRPr="00F22673">
        <w:rPr>
          <w:rFonts w:ascii="Times New Roman" w:eastAsia="Times New Roman" w:hAnsi="Times New Roman" w:cs="Times New Roman"/>
          <w:color w:val="000000"/>
          <w:sz w:val="26"/>
          <w:szCs w:val="26"/>
          <w:lang w:eastAsia="uk-UA"/>
        </w:rPr>
        <w:t xml:space="preserve">, пільга яким визначена </w:t>
      </w:r>
      <w:proofErr w:type="spellStart"/>
      <w:r w:rsidRPr="00F22673">
        <w:rPr>
          <w:rFonts w:ascii="Times New Roman" w:eastAsia="Times New Roman" w:hAnsi="Times New Roman" w:cs="Times New Roman"/>
          <w:color w:val="000000"/>
          <w:sz w:val="26"/>
          <w:szCs w:val="26"/>
          <w:lang w:eastAsia="uk-UA"/>
        </w:rPr>
        <w:t>п.п</w:t>
      </w:r>
      <w:proofErr w:type="spellEnd"/>
      <w:r w:rsidRPr="00F22673">
        <w:rPr>
          <w:rFonts w:ascii="Times New Roman" w:eastAsia="Times New Roman" w:hAnsi="Times New Roman" w:cs="Times New Roman"/>
          <w:color w:val="000000"/>
          <w:sz w:val="26"/>
          <w:szCs w:val="26"/>
          <w:lang w:eastAsia="uk-UA"/>
        </w:rPr>
        <w:t>. «б» пп. 169.1.4 п. 169.1 ст. 169 ПКУ (пп. «ґ» пп. 169.1.3 п. 169.1 ст. 169 ПКУ).</w:t>
      </w:r>
    </w:p>
    <w:p w14:paraId="4898EFF6" w14:textId="77777777" w:rsidR="00F22673" w:rsidRPr="00F22673" w:rsidRDefault="00F22673" w:rsidP="00F22673">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uk-UA"/>
        </w:rPr>
      </w:pPr>
      <w:r w:rsidRPr="00F22673">
        <w:rPr>
          <w:rFonts w:ascii="Times New Roman" w:eastAsia="Times New Roman" w:hAnsi="Times New Roman" w:cs="Times New Roman"/>
          <w:color w:val="000000"/>
          <w:sz w:val="26"/>
          <w:szCs w:val="26"/>
          <w:lang w:eastAsia="uk-UA"/>
        </w:rPr>
        <w:t xml:space="preserve">З урахуванням норм </w:t>
      </w:r>
      <w:proofErr w:type="spellStart"/>
      <w:r w:rsidRPr="00F22673">
        <w:rPr>
          <w:rFonts w:ascii="Times New Roman" w:eastAsia="Times New Roman" w:hAnsi="Times New Roman" w:cs="Times New Roman"/>
          <w:color w:val="000000"/>
          <w:sz w:val="26"/>
          <w:szCs w:val="26"/>
          <w:lang w:eastAsia="uk-UA"/>
        </w:rPr>
        <w:t>п.п</w:t>
      </w:r>
      <w:proofErr w:type="spellEnd"/>
      <w:r w:rsidRPr="00F22673">
        <w:rPr>
          <w:rFonts w:ascii="Times New Roman" w:eastAsia="Times New Roman" w:hAnsi="Times New Roman" w:cs="Times New Roman"/>
          <w:color w:val="000000"/>
          <w:sz w:val="26"/>
          <w:szCs w:val="26"/>
          <w:lang w:eastAsia="uk-UA"/>
        </w:rPr>
        <w:t xml:space="preserve">. 169.4.1 п. 169.4 ст.169 ПКУ платник ПДФО має право на зменшення суми загального місячного оподатковуваного доходу, отримуваного від одного роботодавця у вигляді заробітної плати на суму ПСП у розмірі, що дорівнює 200 відсоткам суми пільги (2270,0 грн.), визначеної </w:t>
      </w:r>
      <w:proofErr w:type="spellStart"/>
      <w:r w:rsidRPr="00F22673">
        <w:rPr>
          <w:rFonts w:ascii="Times New Roman" w:eastAsia="Times New Roman" w:hAnsi="Times New Roman" w:cs="Times New Roman"/>
          <w:color w:val="000000"/>
          <w:sz w:val="26"/>
          <w:szCs w:val="26"/>
          <w:lang w:eastAsia="uk-UA"/>
        </w:rPr>
        <w:t>п.п</w:t>
      </w:r>
      <w:proofErr w:type="spellEnd"/>
      <w:r w:rsidRPr="00F22673">
        <w:rPr>
          <w:rFonts w:ascii="Times New Roman" w:eastAsia="Times New Roman" w:hAnsi="Times New Roman" w:cs="Times New Roman"/>
          <w:color w:val="000000"/>
          <w:sz w:val="26"/>
          <w:szCs w:val="26"/>
          <w:lang w:eastAsia="uk-UA"/>
        </w:rPr>
        <w:t>. 169.1.1 п. 169.1 ст. 169 ПКУ, який є, зокрема, особою з інвалідністю І і ІІ групи, з числа учасників бойових дій на території інших країн у період після Другої світової війни, на яких поширюється дія Закону України від 22 жовтня 1993 року № 3551-ХІІ «Про статус ветеранів війни, гарантії їх соціального захисту» (пп. «б» пп. 169.1.4 п. 169.1 ст. 169 ПКУ).</w:t>
      </w:r>
    </w:p>
    <w:p w14:paraId="2E3A8E41" w14:textId="77777777" w:rsidR="00F22673" w:rsidRPr="00F22673" w:rsidRDefault="00F22673" w:rsidP="00F22673">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uk-UA"/>
        </w:rPr>
      </w:pPr>
      <w:r w:rsidRPr="00F22673">
        <w:rPr>
          <w:rFonts w:ascii="Times New Roman" w:eastAsia="Times New Roman" w:hAnsi="Times New Roman" w:cs="Times New Roman"/>
          <w:color w:val="000000"/>
          <w:sz w:val="26"/>
          <w:szCs w:val="26"/>
          <w:lang w:eastAsia="uk-UA"/>
        </w:rPr>
        <w:t>Підпунктом 169.4.1 п. 169.4 ст. 169 ПКУ визначено, що ПСП застосовується до доходу, нарахованого на користь платника ПДФО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w:t>
      </w:r>
    </w:p>
    <w:p w14:paraId="17701DF2" w14:textId="77777777" w:rsidR="00F22673" w:rsidRPr="00F22673" w:rsidRDefault="00F22673" w:rsidP="00F22673">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uk-UA"/>
        </w:rPr>
      </w:pPr>
      <w:r w:rsidRPr="00F22673">
        <w:rPr>
          <w:rFonts w:ascii="Times New Roman" w:eastAsia="Times New Roman" w:hAnsi="Times New Roman" w:cs="Times New Roman"/>
          <w:color w:val="000000"/>
          <w:sz w:val="26"/>
          <w:szCs w:val="26"/>
          <w:lang w:eastAsia="uk-UA"/>
        </w:rPr>
        <w:t>Отже, особа з інвалідністю І або ІІ групи має право на зменшення суми загального місячного оподатковуваного доходу, отримуваного від одного роботодавця у вигляді заробітної плати, на суму ПСП, у розмірі, що дорівнює 150 відсоткам суми пільги (1702,50 грн.), якщо розмір отриманого протягом місяця доходу не перевищує граничний розмір доходу для застосування ПСП.</w:t>
      </w:r>
    </w:p>
    <w:p w14:paraId="176948EC" w14:textId="6CECBCEB" w:rsidR="00C430C0" w:rsidRPr="00F22673" w:rsidRDefault="00F22673" w:rsidP="00F22673">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uk-UA"/>
        </w:rPr>
      </w:pPr>
      <w:r w:rsidRPr="00F22673">
        <w:rPr>
          <w:rFonts w:ascii="Times New Roman" w:eastAsia="Times New Roman" w:hAnsi="Times New Roman" w:cs="Times New Roman"/>
          <w:color w:val="000000"/>
          <w:sz w:val="26"/>
          <w:szCs w:val="26"/>
          <w:lang w:eastAsia="uk-UA"/>
        </w:rPr>
        <w:t>Особа з інвалідністю І або ІІ групи, з числа учасників бойових дій на території інших країн у період після Другої світової війни має право на ПСП у розмірі 200 відсотків суми пільги </w:t>
      </w:r>
      <w:r w:rsidRPr="00F22673">
        <w:rPr>
          <w:rFonts w:ascii="Times New Roman" w:eastAsia="Times New Roman" w:hAnsi="Times New Roman" w:cs="Times New Roman"/>
          <w:color w:val="000000"/>
          <w:sz w:val="26"/>
          <w:szCs w:val="26"/>
          <w:bdr w:val="none" w:sz="0" w:space="0" w:color="auto" w:frame="1"/>
          <w:lang w:eastAsia="uk-UA"/>
        </w:rPr>
        <w:t>(2270,0 грн.)</w:t>
      </w:r>
      <w:r w:rsidRPr="00F22673">
        <w:rPr>
          <w:rFonts w:ascii="Times New Roman" w:eastAsia="Times New Roman" w:hAnsi="Times New Roman" w:cs="Times New Roman"/>
          <w:color w:val="000000"/>
          <w:sz w:val="26"/>
          <w:szCs w:val="26"/>
          <w:lang w:eastAsia="uk-UA"/>
        </w:rPr>
        <w:t>, якщо розмір отриманого доходу не перевищує граничний розмір доходу для застосування ПСП.</w:t>
      </w:r>
    </w:p>
    <w:p w14:paraId="468DB5CA" w14:textId="77777777" w:rsidR="00EB1281" w:rsidRDefault="00EB1281" w:rsidP="00C430C0">
      <w:pPr>
        <w:spacing w:after="0" w:line="240" w:lineRule="auto"/>
        <w:ind w:firstLine="567"/>
        <w:rPr>
          <w:rFonts w:ascii="Times New Roman" w:eastAsia="Times New Roman" w:hAnsi="Times New Roman" w:cs="Times New Roman"/>
          <w:sz w:val="20"/>
          <w:szCs w:val="20"/>
          <w:lang w:eastAsia="uk-UA"/>
        </w:rPr>
      </w:pPr>
    </w:p>
    <w:p w14:paraId="17124934" w14:textId="6755182F" w:rsidR="001D2BB4" w:rsidRPr="00EB1281" w:rsidRDefault="001D2BB4" w:rsidP="00C430C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w:t>
      </w:r>
    </w:p>
    <w:p w14:paraId="338F1846" w14:textId="77777777" w:rsidR="001D2BB4" w:rsidRPr="00EB1281" w:rsidRDefault="001D2BB4" w:rsidP="00C430C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ДПС у Чернівецькій області: </w:t>
      </w:r>
    </w:p>
    <w:p w14:paraId="6E79FF2C" w14:textId="7655BD12" w:rsidR="001D2BB4" w:rsidRPr="00EB1281" w:rsidRDefault="001D2BB4" w:rsidP="00C430C0">
      <w:pPr>
        <w:spacing w:after="0" w:line="240" w:lineRule="auto"/>
        <w:ind w:firstLine="567"/>
        <w:rPr>
          <w:rFonts w:ascii="Times New Roman" w:eastAsia="Times New Roman" w:hAnsi="Times New Roman" w:cs="Times New Roman"/>
          <w:sz w:val="20"/>
          <w:szCs w:val="20"/>
          <w:lang w:eastAsia="uk-UA"/>
        </w:rPr>
      </w:pP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w:t>
      </w:r>
      <w:r w:rsidRPr="00EB1281">
        <w:rPr>
          <w:rFonts w:ascii="Times New Roman" w:eastAsia="Times New Roman" w:hAnsi="Times New Roman" w:cs="Times New Roman"/>
          <w:b/>
          <w:bCs/>
          <w:sz w:val="20"/>
          <w:szCs w:val="20"/>
          <w:lang w:eastAsia="uk-UA"/>
        </w:rPr>
        <w:t> </w:t>
      </w:r>
      <w:hyperlink r:id="rId7" w:history="1">
        <w:r w:rsidRPr="00EB1281">
          <w:rPr>
            <w:rFonts w:ascii="Times New Roman" w:eastAsia="Times New Roman" w:hAnsi="Times New Roman" w:cs="Times New Roman"/>
            <w:b/>
            <w:bCs/>
            <w:sz w:val="20"/>
            <w:szCs w:val="20"/>
            <w:lang w:eastAsia="uk-UA"/>
          </w:rPr>
          <w:t>https://www.facebook.com/tax.chernivtsi/</w:t>
        </w:r>
      </w:hyperlink>
      <w:r w:rsidRPr="00EB1281">
        <w:rPr>
          <w:rFonts w:ascii="Times New Roman" w:eastAsia="Times New Roman" w:hAnsi="Times New Roman" w:cs="Times New Roman"/>
          <w:sz w:val="20"/>
          <w:szCs w:val="20"/>
          <w:lang w:eastAsia="uk-UA"/>
        </w:rPr>
        <w:t xml:space="preserve"> </w:t>
      </w:r>
    </w:p>
    <w:p w14:paraId="667B9876" w14:textId="560AE205" w:rsidR="001D2BB4" w:rsidRPr="00EB1281" w:rsidRDefault="001D2BB4" w:rsidP="00C430C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Державна податкова служба України: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w:t>
      </w:r>
      <w:r w:rsidR="0048777E" w:rsidRPr="00EB1281">
        <w:rPr>
          <w:rFonts w:ascii="Times New Roman" w:eastAsia="Times New Roman" w:hAnsi="Times New Roman" w:cs="Times New Roman"/>
          <w:sz w:val="20"/>
          <w:szCs w:val="20"/>
          <w:lang w:eastAsia="uk-UA"/>
        </w:rPr>
        <w:t xml:space="preserve"> </w:t>
      </w:r>
      <w:hyperlink r:id="rId8" w:history="1">
        <w:r w:rsidR="0048777E" w:rsidRPr="00EB1281">
          <w:rPr>
            <w:rStyle w:val="a5"/>
            <w:rFonts w:ascii="Times New Roman" w:eastAsia="Times New Roman" w:hAnsi="Times New Roman" w:cs="Times New Roman"/>
            <w:sz w:val="20"/>
            <w:szCs w:val="20"/>
            <w:lang w:eastAsia="uk-UA"/>
          </w:rPr>
          <w:t>https://www.facebook.com/TaxUkraine</w:t>
        </w:r>
      </w:hyperlink>
      <w:r w:rsidRPr="00EB1281">
        <w:rPr>
          <w:rFonts w:ascii="Times New Roman" w:eastAsia="Times New Roman" w:hAnsi="Times New Roman" w:cs="Times New Roman"/>
          <w:sz w:val="20"/>
          <w:szCs w:val="20"/>
          <w:lang w:eastAsia="uk-UA"/>
        </w:rPr>
        <w:t xml:space="preserve"> </w:t>
      </w:r>
    </w:p>
    <w:p w14:paraId="45173BDE" w14:textId="52434962" w:rsidR="001D2BB4" w:rsidRPr="00A83DFD" w:rsidRDefault="001D2BB4" w:rsidP="00C430C0">
      <w:pPr>
        <w:spacing w:after="0" w:line="240" w:lineRule="auto"/>
        <w:ind w:firstLine="567"/>
        <w:rPr>
          <w:rFonts w:ascii="Times New Roman" w:eastAsia="Times New Roman" w:hAnsi="Times New Roman" w:cs="Times New Roman"/>
          <w:sz w:val="20"/>
          <w:szCs w:val="20"/>
          <w:lang w:eastAsia="uk-UA"/>
        </w:rPr>
      </w:pPr>
      <w:proofErr w:type="spellStart"/>
      <w:r w:rsidRPr="00EB1281">
        <w:rPr>
          <w:rFonts w:ascii="Times New Roman" w:eastAsia="Times New Roman" w:hAnsi="Times New Roman" w:cs="Times New Roman"/>
          <w:b/>
          <w:bCs/>
          <w:sz w:val="20"/>
          <w:szCs w:val="20"/>
          <w:lang w:eastAsia="uk-UA"/>
        </w:rPr>
        <w:t>«Inf</w:t>
      </w:r>
      <w:proofErr w:type="spellEnd"/>
      <w:r w:rsidRPr="00EB1281">
        <w:rPr>
          <w:rFonts w:ascii="Times New Roman" w:eastAsia="Times New Roman" w:hAnsi="Times New Roman" w:cs="Times New Roman"/>
          <w:b/>
          <w:bCs/>
          <w:sz w:val="20"/>
          <w:szCs w:val="20"/>
          <w:lang w:eastAsia="uk-UA"/>
        </w:rPr>
        <w:t>oTAX» </w:t>
      </w:r>
      <w:hyperlink r:id="rId9" w:history="1">
        <w:r w:rsidRPr="00EB1281">
          <w:rPr>
            <w:rFonts w:ascii="Times New Roman" w:eastAsia="Times New Roman" w:hAnsi="Times New Roman" w:cs="Times New Roman"/>
            <w:color w:val="0000FF"/>
            <w:sz w:val="20"/>
            <w:szCs w:val="20"/>
            <w:u w:val="single"/>
            <w:lang w:eastAsia="uk-UA"/>
          </w:rPr>
          <w:t>http:/t.me/infoTAXbot</w:t>
        </w:r>
      </w:hyperlink>
      <w:r w:rsidRPr="00EB1281">
        <w:rPr>
          <w:rFonts w:ascii="Times New Roman" w:eastAsia="Times New Roman" w:hAnsi="Times New Roman" w:cs="Times New Roman"/>
          <w:sz w:val="20"/>
          <w:szCs w:val="20"/>
          <w:lang w:eastAsia="uk-UA"/>
        </w:rPr>
        <w:t xml:space="preserve"> </w:t>
      </w:r>
      <w:r w:rsidRPr="00EB1281">
        <w:rPr>
          <w:rFonts w:ascii="Times New Roman" w:eastAsia="Times New Roman" w:hAnsi="Times New Roman" w:cs="Times New Roman"/>
          <w:b/>
          <w:bCs/>
          <w:sz w:val="20"/>
          <w:szCs w:val="20"/>
          <w:lang w:eastAsia="uk-UA"/>
        </w:rPr>
        <w:t xml:space="preserve">Телеграм-канал </w:t>
      </w:r>
      <w:proofErr w:type="spellStart"/>
      <w:r w:rsidRPr="00EB1281">
        <w:rPr>
          <w:rFonts w:ascii="Times New Roman" w:eastAsia="Times New Roman" w:hAnsi="Times New Roman" w:cs="Times New Roman"/>
          <w:b/>
          <w:bCs/>
          <w:sz w:val="20"/>
          <w:szCs w:val="20"/>
          <w:lang w:eastAsia="uk-UA"/>
        </w:rPr>
        <w:t>ДПС </w:t>
      </w:r>
      <w:hyperlink r:id="rId10" w:history="1">
        <w:r w:rsidRPr="00EB1281">
          <w:rPr>
            <w:rFonts w:ascii="Times New Roman" w:eastAsia="Times New Roman" w:hAnsi="Times New Roman" w:cs="Times New Roman"/>
            <w:color w:val="0000FF"/>
            <w:sz w:val="20"/>
            <w:szCs w:val="20"/>
            <w:u w:val="single"/>
            <w:lang w:eastAsia="uk-UA"/>
          </w:rPr>
          <w:t>h</w:t>
        </w:r>
        <w:proofErr w:type="spellEnd"/>
        <w:r w:rsidRPr="00EB1281">
          <w:rPr>
            <w:rFonts w:ascii="Times New Roman" w:eastAsia="Times New Roman" w:hAnsi="Times New Roman" w:cs="Times New Roman"/>
            <w:color w:val="0000FF"/>
            <w:sz w:val="20"/>
            <w:szCs w:val="20"/>
            <w:u w:val="single"/>
            <w:lang w:eastAsia="uk-UA"/>
          </w:rPr>
          <w:t>ttps://t.me/tax_gov_ua</w:t>
        </w:r>
      </w:hyperlink>
      <w:r w:rsidRPr="00EB1281">
        <w:rPr>
          <w:rFonts w:ascii="Times New Roman" w:eastAsia="Times New Roman" w:hAnsi="Times New Roman" w:cs="Times New Roman"/>
          <w:sz w:val="20"/>
          <w:szCs w:val="20"/>
          <w:lang w:eastAsia="uk-UA"/>
        </w:rPr>
        <w:t xml:space="preserve"> </w:t>
      </w:r>
    </w:p>
    <w:sectPr w:rsidR="001D2BB4" w:rsidRPr="00A83DFD"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Black">
    <w:altName w:val="Segoe UI Semibold"/>
    <w:charset w:val="CC"/>
    <w:family w:val="swiss"/>
    <w:pitch w:val="variable"/>
    <w:sig w:usb0="00000001" w:usb1="4000E47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D2BB4"/>
    <w:rsid w:val="001D669A"/>
    <w:rsid w:val="00276F25"/>
    <w:rsid w:val="00316C69"/>
    <w:rsid w:val="003423FF"/>
    <w:rsid w:val="003D7B09"/>
    <w:rsid w:val="0048777E"/>
    <w:rsid w:val="00506F76"/>
    <w:rsid w:val="00621CB6"/>
    <w:rsid w:val="00626D57"/>
    <w:rsid w:val="006618C6"/>
    <w:rsid w:val="00744E9F"/>
    <w:rsid w:val="00773643"/>
    <w:rsid w:val="007B7B78"/>
    <w:rsid w:val="007E4FCB"/>
    <w:rsid w:val="008C6AF8"/>
    <w:rsid w:val="009611A4"/>
    <w:rsid w:val="009A545E"/>
    <w:rsid w:val="009F35C3"/>
    <w:rsid w:val="00A14554"/>
    <w:rsid w:val="00A83DFD"/>
    <w:rsid w:val="00B162AA"/>
    <w:rsid w:val="00B855C1"/>
    <w:rsid w:val="00C03DF7"/>
    <w:rsid w:val="00C210DB"/>
    <w:rsid w:val="00C430C0"/>
    <w:rsid w:val="00D124BC"/>
    <w:rsid w:val="00D40272"/>
    <w:rsid w:val="00DB4E73"/>
    <w:rsid w:val="00E11100"/>
    <w:rsid w:val="00E1192A"/>
    <w:rsid w:val="00E32966"/>
    <w:rsid w:val="00EB1281"/>
    <w:rsid w:val="00EF764C"/>
    <w:rsid w:val="00F226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58953260">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267810270">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Ukraine" TargetMode="External"/><Relationship Id="rId3" Type="http://schemas.microsoft.com/office/2007/relationships/stylesWithEffects" Target="stylesWithEffects.xml"/><Relationship Id="rId7" Type="http://schemas.openxmlformats.org/officeDocument/2006/relationships/hyperlink" Target="https://www.facebook.com/tax.chernivtsi/?notif_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me/tax_gov_ua" TargetMode="External"/><Relationship Id="rId4" Type="http://schemas.openxmlformats.org/officeDocument/2006/relationships/settings" Target="settings.xml"/><Relationship Id="rId9" Type="http://schemas.openxmlformats.org/officeDocument/2006/relationships/hyperlink" Target="https://cv.tax.gov.ua/http:/t.me/infoTAX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25F8-CC93-43E9-87B7-7A61A734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2294</Words>
  <Characters>1309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3</cp:revision>
  <dcterms:created xsi:type="dcterms:W3CDTF">2021-09-07T06:34:00Z</dcterms:created>
  <dcterms:modified xsi:type="dcterms:W3CDTF">2021-09-08T12:20:00Z</dcterms:modified>
</cp:coreProperties>
</file>