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7E4FCB" w:rsidP="00773643">
      <w:pPr>
        <w:jc w:val="center"/>
      </w:pPr>
      <w:r>
        <w:rPr>
          <w:noProof/>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810491"/>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810491"/>
                        </a:xfrm>
                        <a:prstGeom prst="rect">
                          <a:avLst/>
                        </a:prstGeom>
                      </wps:spPr>
                      <wps:txbx>
                        <w:txbxContent>
                          <w:p w:rsidR="00682AB6" w:rsidRPr="00682AB6" w:rsidRDefault="00682AB6" w:rsidP="00682AB6">
                            <w:pPr>
                              <w:pStyle w:val="11"/>
                              <w:jc w:val="center"/>
                              <w:rPr>
                                <w:b/>
                                <w:sz w:val="32"/>
                                <w:szCs w:val="24"/>
                                <w:lang w:eastAsia="uk-UA"/>
                              </w:rPr>
                            </w:pPr>
                            <w:r w:rsidRPr="00682AB6">
                              <w:rPr>
                                <w:b/>
                                <w:sz w:val="32"/>
                                <w:szCs w:val="24"/>
                                <w:lang w:eastAsia="uk-UA"/>
                              </w:rPr>
                              <w:t xml:space="preserve">Запитання від платника: </w:t>
                            </w:r>
                          </w:p>
                          <w:p w:rsidR="00682AB6" w:rsidRPr="00682AB6" w:rsidRDefault="00682AB6" w:rsidP="00682AB6">
                            <w:pPr>
                              <w:pStyle w:val="11"/>
                              <w:jc w:val="center"/>
                              <w:rPr>
                                <w:b/>
                                <w:sz w:val="32"/>
                                <w:szCs w:val="24"/>
                                <w:lang w:eastAsia="uk-UA"/>
                              </w:rPr>
                            </w:pPr>
                            <w:r w:rsidRPr="00682AB6">
                              <w:rPr>
                                <w:b/>
                                <w:sz w:val="32"/>
                                <w:szCs w:val="24"/>
                                <w:lang w:eastAsia="uk-UA"/>
                              </w:rPr>
                              <w:t>Коли ФОП при наданні в суборенду приміщень може застосовувати 2 групу єдиного податку</w:t>
                            </w:r>
                          </w:p>
                          <w:p w:rsidR="00773643" w:rsidRPr="00682AB6" w:rsidRDefault="00773643" w:rsidP="007B7B78">
                            <w:pPr>
                              <w:pStyle w:val="1"/>
                              <w:spacing w:before="0" w:beforeAutospacing="0" w:after="0" w:afterAutospacing="0"/>
                              <w:jc w:val="center"/>
                              <w:rPr>
                                <w:sz w:val="28"/>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6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" filled="f" stroked="f">
                <o:lock v:ext="edit" grouping="t"/>
                <v:textbox>
                  <w:txbxContent>
                    <w:p w:rsidR="00682AB6" w:rsidRPr="00682AB6" w:rsidRDefault="00682AB6" w:rsidP="00682AB6">
                      <w:pPr>
                        <w:pStyle w:val="11"/>
                        <w:jc w:val="center"/>
                        <w:rPr>
                          <w:b/>
                          <w:sz w:val="32"/>
                          <w:szCs w:val="24"/>
                          <w:lang w:eastAsia="uk-UA"/>
                        </w:rPr>
                      </w:pPr>
                      <w:r w:rsidRPr="00682AB6">
                        <w:rPr>
                          <w:b/>
                          <w:sz w:val="32"/>
                          <w:szCs w:val="24"/>
                          <w:lang w:eastAsia="uk-UA"/>
                        </w:rPr>
                        <w:t xml:space="preserve">Запитання від платника: </w:t>
                      </w:r>
                    </w:p>
                    <w:p w:rsidR="00682AB6" w:rsidRPr="00682AB6" w:rsidRDefault="00682AB6" w:rsidP="00682AB6">
                      <w:pPr>
                        <w:pStyle w:val="11"/>
                        <w:jc w:val="center"/>
                        <w:rPr>
                          <w:b/>
                          <w:sz w:val="32"/>
                          <w:szCs w:val="24"/>
                          <w:lang w:eastAsia="uk-UA"/>
                        </w:rPr>
                      </w:pPr>
                      <w:r w:rsidRPr="00682AB6">
                        <w:rPr>
                          <w:b/>
                          <w:sz w:val="32"/>
                          <w:szCs w:val="24"/>
                          <w:lang w:eastAsia="uk-UA"/>
                        </w:rPr>
                        <w:t>Коли ФОП при наданні в суборенду приміщень може застосовувати 2 групу єдиного податку</w:t>
                      </w:r>
                    </w:p>
                    <w:p w:rsidR="00773643" w:rsidRPr="00682AB6" w:rsidRDefault="00773643" w:rsidP="007B7B78">
                      <w:pPr>
                        <w:pStyle w:val="1"/>
                        <w:spacing w:before="0" w:beforeAutospacing="0" w:after="0" w:afterAutospacing="0"/>
                        <w:jc w:val="center"/>
                        <w:rPr>
                          <w:sz w:val="28"/>
                          <w:szCs w:val="32"/>
                        </w:rPr>
                      </w:pPr>
                    </w:p>
                  </w:txbxContent>
                </v:textbox>
                <w10:wrap anchorx="margin"/>
              </v:rect>
            </w:pict>
          </mc:Fallback>
        </mc:AlternateContent>
      </w: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682AB6" w:rsidRPr="00682AB6" w:rsidRDefault="00682AB6" w:rsidP="00682AB6">
      <w:pPr>
        <w:pStyle w:val="11"/>
        <w:rPr>
          <w:sz w:val="26"/>
          <w:szCs w:val="26"/>
        </w:rPr>
      </w:pPr>
      <w:bookmarkStart w:id="0" w:name="_GoBack"/>
      <w:bookmarkEnd w:id="0"/>
      <w:r w:rsidRPr="00682AB6">
        <w:rPr>
          <w:sz w:val="26"/>
          <w:szCs w:val="26"/>
        </w:rPr>
        <w:t>У Головному управлінні ДПС у Чернівецькій області роз’яснюють, що п. 291.4 ПКУ встановлені умови перебування фізичних осіб – підприємців, які застосовують спрощену систему оподаткування, обліку та звітності, у відповідних групах платників єдиного податку.</w:t>
      </w:r>
    </w:p>
    <w:p w:rsidR="00682AB6" w:rsidRPr="00682AB6" w:rsidRDefault="00682AB6" w:rsidP="00682AB6">
      <w:pPr>
        <w:pStyle w:val="11"/>
        <w:rPr>
          <w:sz w:val="26"/>
          <w:szCs w:val="26"/>
        </w:rPr>
      </w:pPr>
      <w:r w:rsidRPr="00682AB6">
        <w:rPr>
          <w:sz w:val="26"/>
          <w:szCs w:val="26"/>
        </w:rPr>
        <w:t xml:space="preserve">Відповідно до </w:t>
      </w:r>
      <w:proofErr w:type="spellStart"/>
      <w:r w:rsidRPr="00682AB6">
        <w:rPr>
          <w:sz w:val="26"/>
          <w:szCs w:val="26"/>
        </w:rPr>
        <w:t>пп</w:t>
      </w:r>
      <w:proofErr w:type="spellEnd"/>
      <w:r w:rsidRPr="00682AB6">
        <w:rPr>
          <w:sz w:val="26"/>
          <w:szCs w:val="26"/>
        </w:rPr>
        <w:t>. 2 п. 291.4 ПКУ до другої групи платників єдиного податку належать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82AB6" w:rsidRPr="00682AB6" w:rsidRDefault="00682AB6" w:rsidP="00682AB6">
      <w:pPr>
        <w:pStyle w:val="11"/>
        <w:rPr>
          <w:sz w:val="26"/>
          <w:szCs w:val="26"/>
        </w:rPr>
      </w:pPr>
      <w:r w:rsidRPr="00682AB6">
        <w:rPr>
          <w:sz w:val="26"/>
          <w:szCs w:val="26"/>
        </w:rPr>
        <w:t>не використовують працю найманих осіб або кількість осіб, які перебувають з ними у трудових відносинах, одночасно не перевищує 10 осіб;</w:t>
      </w:r>
    </w:p>
    <w:p w:rsidR="00682AB6" w:rsidRPr="00682AB6" w:rsidRDefault="00682AB6" w:rsidP="00682AB6">
      <w:pPr>
        <w:pStyle w:val="11"/>
        <w:rPr>
          <w:sz w:val="26"/>
          <w:szCs w:val="26"/>
        </w:rPr>
      </w:pPr>
      <w:r w:rsidRPr="00682AB6">
        <w:rPr>
          <w:sz w:val="26"/>
          <w:szCs w:val="26"/>
        </w:rPr>
        <w:t>обсяг доходу не перевищує 834 розміри мінімальної заробітної плати, встановленої законом на 1 січня податкового (звітного) року.</w:t>
      </w:r>
    </w:p>
    <w:p w:rsidR="00682AB6" w:rsidRPr="00682AB6" w:rsidRDefault="00682AB6" w:rsidP="00682AB6">
      <w:pPr>
        <w:pStyle w:val="11"/>
        <w:rPr>
          <w:sz w:val="26"/>
          <w:szCs w:val="26"/>
        </w:rPr>
      </w:pPr>
      <w:r w:rsidRPr="00682AB6">
        <w:rPr>
          <w:sz w:val="26"/>
          <w:szCs w:val="26"/>
        </w:rPr>
        <w:t xml:space="preserve">Дія </w:t>
      </w:r>
      <w:proofErr w:type="spellStart"/>
      <w:r w:rsidRPr="00682AB6">
        <w:rPr>
          <w:sz w:val="26"/>
          <w:szCs w:val="26"/>
        </w:rPr>
        <w:t>пп</w:t>
      </w:r>
      <w:proofErr w:type="spellEnd"/>
      <w:r w:rsidRPr="00682AB6">
        <w:rPr>
          <w:sz w:val="26"/>
          <w:szCs w:val="26"/>
        </w:rPr>
        <w:t xml:space="preserve">. 2 п. 291.4 ПКУ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82AB6">
        <w:rPr>
          <w:sz w:val="26"/>
          <w:szCs w:val="26"/>
        </w:rPr>
        <w:t>напівдорогоцінного</w:t>
      </w:r>
      <w:proofErr w:type="spellEnd"/>
      <w:r w:rsidRPr="00682AB6">
        <w:rPr>
          <w:sz w:val="26"/>
          <w:szCs w:val="26"/>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682AB6" w:rsidRPr="00682AB6" w:rsidRDefault="00682AB6" w:rsidP="00682AB6">
      <w:pPr>
        <w:pStyle w:val="11"/>
        <w:rPr>
          <w:sz w:val="26"/>
          <w:szCs w:val="26"/>
        </w:rPr>
      </w:pPr>
      <w:r w:rsidRPr="00682AB6">
        <w:rPr>
          <w:sz w:val="26"/>
          <w:szCs w:val="26"/>
        </w:rPr>
        <w:t>Пунктом 291.5 ПКУ визначені види діяльності та умови, при яких суб’єкти господарювання не можуть бути платниками єдиного податку.</w:t>
      </w:r>
    </w:p>
    <w:p w:rsidR="00682AB6" w:rsidRPr="00682AB6" w:rsidRDefault="00682AB6" w:rsidP="00682AB6">
      <w:pPr>
        <w:pStyle w:val="11"/>
        <w:rPr>
          <w:sz w:val="26"/>
          <w:szCs w:val="26"/>
        </w:rPr>
      </w:pPr>
      <w:r w:rsidRPr="00682AB6">
        <w:rPr>
          <w:sz w:val="26"/>
          <w:szCs w:val="26"/>
        </w:rPr>
        <w:t xml:space="preserve">Зокрема, не можуть бути платниками єдиного податку першої – третьої груп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400 </w:t>
      </w:r>
      <w:proofErr w:type="spellStart"/>
      <w:r w:rsidRPr="00682AB6">
        <w:rPr>
          <w:sz w:val="26"/>
          <w:szCs w:val="26"/>
        </w:rPr>
        <w:t>кв</w:t>
      </w:r>
      <w:proofErr w:type="spellEnd"/>
      <w:r w:rsidRPr="00682AB6">
        <w:rPr>
          <w:sz w:val="26"/>
          <w:szCs w:val="26"/>
        </w:rPr>
        <w:t xml:space="preserve">. метрів, нежитлові приміщення (споруди, будівлі) та/або їх частини, загальна площа яких перевищує 900 </w:t>
      </w:r>
      <w:proofErr w:type="spellStart"/>
      <w:r w:rsidRPr="00682AB6">
        <w:rPr>
          <w:sz w:val="26"/>
          <w:szCs w:val="26"/>
        </w:rPr>
        <w:t>кв</w:t>
      </w:r>
      <w:proofErr w:type="spellEnd"/>
      <w:r w:rsidRPr="00682AB6">
        <w:rPr>
          <w:sz w:val="26"/>
          <w:szCs w:val="26"/>
        </w:rPr>
        <w:t>. метрів.</w:t>
      </w:r>
    </w:p>
    <w:p w:rsidR="00682AB6" w:rsidRPr="00682AB6" w:rsidRDefault="00682AB6" w:rsidP="00682AB6">
      <w:pPr>
        <w:pStyle w:val="11"/>
        <w:rPr>
          <w:sz w:val="26"/>
          <w:szCs w:val="26"/>
        </w:rPr>
      </w:pPr>
      <w:r w:rsidRPr="00682AB6">
        <w:rPr>
          <w:sz w:val="26"/>
          <w:szCs w:val="26"/>
        </w:rPr>
        <w:t>Відповідно до КВЕД ДК 009:2010, діяльність, пов’язана із наданням в оренду власного чи орендованого нерухомого майна відноситься до групи 68.20.</w:t>
      </w:r>
    </w:p>
    <w:p w:rsidR="00682AB6" w:rsidRPr="00682AB6" w:rsidRDefault="00682AB6" w:rsidP="00682AB6">
      <w:pPr>
        <w:pStyle w:val="11"/>
        <w:rPr>
          <w:sz w:val="26"/>
          <w:szCs w:val="26"/>
        </w:rPr>
      </w:pPr>
      <w:r w:rsidRPr="00682AB6">
        <w:rPr>
          <w:sz w:val="26"/>
          <w:szCs w:val="26"/>
        </w:rPr>
        <w:t xml:space="preserve">Таким чином, фізична особа – підприємець, яка надає в суборенду житлові приміщення лише до 400 </w:t>
      </w:r>
      <w:proofErr w:type="spellStart"/>
      <w:r w:rsidRPr="00682AB6">
        <w:rPr>
          <w:sz w:val="26"/>
          <w:szCs w:val="26"/>
        </w:rPr>
        <w:t>кв</w:t>
      </w:r>
      <w:proofErr w:type="spellEnd"/>
      <w:r w:rsidRPr="00682AB6">
        <w:rPr>
          <w:sz w:val="26"/>
          <w:szCs w:val="26"/>
        </w:rPr>
        <w:t xml:space="preserve">. метрів (включно) та/або нежитлове приміщення до 900 </w:t>
      </w:r>
      <w:proofErr w:type="spellStart"/>
      <w:r w:rsidRPr="00682AB6">
        <w:rPr>
          <w:sz w:val="26"/>
          <w:szCs w:val="26"/>
        </w:rPr>
        <w:t>кв</w:t>
      </w:r>
      <w:proofErr w:type="spellEnd"/>
      <w:r w:rsidRPr="00682AB6">
        <w:rPr>
          <w:sz w:val="26"/>
          <w:szCs w:val="26"/>
        </w:rPr>
        <w:t>. метрів (включно), має право застосовувати другу групу платників єдиного податку за умови здавання таких приміщень в суборенду платникам єдиного податку та/або населенню.</w:t>
      </w:r>
    </w:p>
    <w:p w:rsidR="001D2BB4" w:rsidRDefault="001D2BB4" w:rsidP="00316C69">
      <w:pPr>
        <w:spacing w:after="0" w:line="240" w:lineRule="auto"/>
        <w:jc w:val="both"/>
        <w:rPr>
          <w:rFonts w:ascii="Times New Roman" w:hAnsi="Times New Roman" w:cs="Times New Roman"/>
          <w:b/>
          <w:sz w:val="24"/>
          <w:szCs w:val="24"/>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5"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1D2BB4" w:rsidRDefault="001D2BB4" w:rsidP="001D2BB4">
      <w:pPr>
        <w:spacing w:after="0" w:line="240" w:lineRule="auto"/>
        <w:ind w:firstLine="567"/>
        <w:rPr>
          <w:rFonts w:ascii="Times New Roman" w:eastAsia="Times New Roman" w:hAnsi="Times New Roman" w:cs="Times New Roman"/>
          <w:sz w:val="24"/>
          <w:szCs w:val="24"/>
          <w:lang w:eastAsia="uk-UA"/>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0048777E">
        <w:rPr>
          <w:rFonts w:ascii="Times New Roman" w:eastAsia="Times New Roman" w:hAnsi="Times New Roman" w:cs="Times New Roman"/>
          <w:sz w:val="24"/>
          <w:szCs w:val="24"/>
          <w:lang w:eastAsia="uk-UA"/>
        </w:rPr>
        <w:t xml:space="preserve"> </w:t>
      </w:r>
      <w:hyperlink r:id="rId6" w:history="1">
        <w:r w:rsidR="0048777E" w:rsidRPr="009B0387">
          <w:rPr>
            <w:rStyle w:val="a5"/>
            <w:rFonts w:ascii="Times New Roman" w:eastAsia="Times New Roman" w:hAnsi="Times New Roman" w:cs="Times New Roman"/>
            <w:sz w:val="24"/>
            <w:szCs w:val="24"/>
            <w:lang w:eastAsia="uk-UA"/>
          </w:rPr>
          <w:t>https://www.facebook.com/TaxUkraine</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7"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8"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p>
    <w:p w:rsidR="001D2BB4" w:rsidRPr="001D2BB4" w:rsidRDefault="001D2BB4" w:rsidP="00316C69">
      <w:pPr>
        <w:spacing w:after="0" w:line="240" w:lineRule="auto"/>
        <w:jc w:val="both"/>
        <w:rPr>
          <w:rFonts w:ascii="Times New Roman" w:hAnsi="Times New Roman" w:cs="Times New Roman"/>
          <w:b/>
          <w:sz w:val="24"/>
          <w:szCs w:val="24"/>
        </w:rPr>
      </w:pPr>
    </w:p>
    <w:sectPr w:rsidR="001D2BB4" w:rsidRPr="001D2BB4"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682AB6"/>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0F8"/>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ax_gov_ua" TargetMode="External"/><Relationship Id="rId3" Type="http://schemas.openxmlformats.org/officeDocument/2006/relationships/webSettings" Target="webSettings.xml"/><Relationship Id="rId7" Type="http://schemas.openxmlformats.org/officeDocument/2006/relationships/hyperlink" Target="https://cv.tax.gov.ua/http:/t.me/infoTAXb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5" Type="http://schemas.openxmlformats.org/officeDocument/2006/relationships/hyperlink" Target="https://www.facebook.com/tax.chernivtsi/?notif_i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1915</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2019-09-17T08:13:00Z</dcterms:created>
  <dcterms:modified xsi:type="dcterms:W3CDTF">2021-05-25T12:02:00Z</dcterms:modified>
</cp:coreProperties>
</file>