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21"/>
        <w:gridCol w:w="3969"/>
        <w:gridCol w:w="5103"/>
      </w:tblGrid>
      <w:tr w:rsidR="00FB4DD9" w:rsidRPr="008A04FE" w:rsidTr="008A04FE">
        <w:tc>
          <w:tcPr>
            <w:tcW w:w="9493" w:type="dxa"/>
            <w:gridSpan w:val="3"/>
          </w:tcPr>
          <w:p w:rsidR="00FB4DD9" w:rsidRPr="008A04FE" w:rsidRDefault="00C344C2" w:rsidP="00FB4DD9">
            <w:pPr>
              <w:jc w:val="center"/>
              <w:rPr>
                <w:rFonts w:ascii="Times New Roman" w:hAnsi="Times New Roman" w:cs="Times New Roman"/>
                <w:b/>
              </w:rPr>
            </w:pPr>
            <w:bookmarkStart w:id="0" w:name="_Hlk63780488"/>
            <w:r w:rsidRPr="008A04FE">
              <w:rPr>
                <w:rFonts w:ascii="Times New Roman" w:hAnsi="Times New Roman" w:cs="Times New Roman"/>
                <w:b/>
              </w:rPr>
              <w:t xml:space="preserve"> </w:t>
            </w:r>
            <w:r w:rsidR="008A04FE" w:rsidRPr="008A04FE">
              <w:rPr>
                <w:rFonts w:ascii="Times New Roman" w:hAnsi="Times New Roman" w:cs="Times New Roman"/>
                <w:b/>
              </w:rPr>
              <w:t>Обґрунтування</w:t>
            </w:r>
            <w:r w:rsidR="00FB4DD9" w:rsidRPr="008A04FE">
              <w:rPr>
                <w:rFonts w:ascii="Times New Roman" w:hAnsi="Times New Roman" w:cs="Times New Roman"/>
                <w:b/>
              </w:rPr>
              <w:t xml:space="preserve"> технічних та якісних характеристик предмета закупівлі, розміру бюджетного призначення, очікуваної вартості предмета закупівлі</w:t>
            </w:r>
          </w:p>
        </w:tc>
      </w:tr>
      <w:tr w:rsidR="00FB4DD9" w:rsidRPr="008A04FE" w:rsidTr="008A04FE">
        <w:tc>
          <w:tcPr>
            <w:tcW w:w="421" w:type="dxa"/>
          </w:tcPr>
          <w:p w:rsidR="00FB4DD9" w:rsidRPr="008A04FE" w:rsidRDefault="00FB4DD9">
            <w:pPr>
              <w:rPr>
                <w:rFonts w:ascii="Times New Roman" w:hAnsi="Times New Roman" w:cs="Times New Roman"/>
              </w:rPr>
            </w:pPr>
            <w:r w:rsidRPr="008A04FE">
              <w:rPr>
                <w:rFonts w:ascii="Times New Roman" w:hAnsi="Times New Roman" w:cs="Times New Roman"/>
              </w:rPr>
              <w:t>1</w:t>
            </w:r>
          </w:p>
        </w:tc>
        <w:tc>
          <w:tcPr>
            <w:tcW w:w="3969" w:type="dxa"/>
          </w:tcPr>
          <w:p w:rsidR="00FB4DD9" w:rsidRPr="008A04FE" w:rsidRDefault="00FB4DD9">
            <w:pPr>
              <w:rPr>
                <w:rFonts w:ascii="Times New Roman" w:hAnsi="Times New Roman" w:cs="Times New Roman"/>
                <w:b/>
              </w:rPr>
            </w:pPr>
            <w:r w:rsidRPr="008A04FE">
              <w:rPr>
                <w:rFonts w:ascii="Times New Roman" w:hAnsi="Times New Roman" w:cs="Times New Roman"/>
                <w:b/>
              </w:rPr>
              <w:t>Назва предмета закупівлі</w:t>
            </w:r>
          </w:p>
        </w:tc>
        <w:tc>
          <w:tcPr>
            <w:tcW w:w="5103" w:type="dxa"/>
          </w:tcPr>
          <w:p w:rsidR="00FB4DD9" w:rsidRPr="008A04FE" w:rsidRDefault="005D637A">
            <w:pPr>
              <w:rPr>
                <w:rFonts w:ascii="Times New Roman" w:hAnsi="Times New Roman" w:cs="Times New Roman"/>
                <w:b/>
              </w:rPr>
            </w:pPr>
            <w:r>
              <w:rPr>
                <w:rFonts w:ascii="Times New Roman" w:eastAsia="Times New Roman" w:hAnsi="Times New Roman" w:cs="Times New Roman"/>
                <w:b/>
                <w:lang w:eastAsia="uk-UA"/>
              </w:rPr>
              <w:t>Електрична енергія (універсальна послуга)</w:t>
            </w:r>
          </w:p>
        </w:tc>
      </w:tr>
      <w:tr w:rsidR="00FB4DD9" w:rsidRPr="008A04FE" w:rsidTr="008A04FE">
        <w:tc>
          <w:tcPr>
            <w:tcW w:w="421" w:type="dxa"/>
          </w:tcPr>
          <w:p w:rsidR="00FB4DD9" w:rsidRPr="008A04FE" w:rsidRDefault="00FB4DD9">
            <w:pPr>
              <w:rPr>
                <w:rFonts w:ascii="Times New Roman" w:hAnsi="Times New Roman" w:cs="Times New Roman"/>
              </w:rPr>
            </w:pPr>
            <w:r w:rsidRPr="008A04FE">
              <w:rPr>
                <w:rFonts w:ascii="Times New Roman" w:hAnsi="Times New Roman" w:cs="Times New Roman"/>
              </w:rPr>
              <w:t>2</w:t>
            </w:r>
          </w:p>
        </w:tc>
        <w:tc>
          <w:tcPr>
            <w:tcW w:w="3969" w:type="dxa"/>
          </w:tcPr>
          <w:p w:rsidR="00FB4DD9" w:rsidRPr="008A04FE" w:rsidRDefault="008A04FE">
            <w:pPr>
              <w:rPr>
                <w:rFonts w:ascii="Times New Roman" w:hAnsi="Times New Roman" w:cs="Times New Roman"/>
                <w:b/>
              </w:rPr>
            </w:pPr>
            <w:r w:rsidRPr="008A04FE">
              <w:rPr>
                <w:rFonts w:ascii="Times New Roman" w:hAnsi="Times New Roman" w:cs="Times New Roman"/>
                <w:b/>
              </w:rPr>
              <w:t>Обґрунтування</w:t>
            </w:r>
            <w:r w:rsidR="00FB4DD9" w:rsidRPr="008A04FE">
              <w:rPr>
                <w:rFonts w:ascii="Times New Roman" w:hAnsi="Times New Roman" w:cs="Times New Roman"/>
                <w:b/>
              </w:rPr>
              <w:t xml:space="preserve"> технічних та якісних характеристик предмета закупівлі</w:t>
            </w:r>
          </w:p>
        </w:tc>
        <w:tc>
          <w:tcPr>
            <w:tcW w:w="5103" w:type="dxa"/>
          </w:tcPr>
          <w:p w:rsidR="00FB4DD9" w:rsidRPr="008A04FE" w:rsidRDefault="00105DF4" w:rsidP="00105DF4">
            <w:pPr>
              <w:jc w:val="both"/>
              <w:rPr>
                <w:rFonts w:ascii="Times New Roman" w:hAnsi="Times New Roman" w:cs="Times New Roman"/>
                <w:b/>
              </w:rPr>
            </w:pPr>
            <w:r>
              <w:t>Закон України «Про ринок електричної енергії» №2019-VIII від 13.04.2017 року (далі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w:t>
            </w:r>
            <w:proofErr w:type="spellStart"/>
            <w:r>
              <w:t>продажем</w:t>
            </w:r>
            <w:proofErr w:type="spellEnd"/>
            <w:r>
              <w:t>,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Згідно з п. 93 ч. 1 ст. 1 Закону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ч. 2 ст. 58 Закону побутові споживачі та малі непобутові споживачі мають право на отримання універсальних послуг відповідно до цього Закону. Згідно з п. 42 ч. 1 ст. 1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У відповідь на лист-запит Головного управління ДПС у Чернівецькій області від 19 березня 2021 року № 2234/6/24-13-10-01-15 АТ «</w:t>
            </w:r>
            <w:proofErr w:type="spellStart"/>
            <w:r>
              <w:t>Чернівціобленерго</w:t>
            </w:r>
            <w:proofErr w:type="spellEnd"/>
            <w:r>
              <w:t xml:space="preserve">» листом від 23 березня 2021 року № 31/1397 повідомило, що перелік об’єктів районних ДПІ та м. Новодністровськ (всього 12 об’єктів) Головного управління ДПС у Чернівецькій області підпадає під визначення «малий непобутовий споживач». Згідно з ст.63 Закону: 1.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2.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3. Побутові та малі непобутові споживачі мають право на отримання універсальних послуг на недискримінаційних засадах. 4.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w:t>
            </w:r>
            <w:r>
              <w:lastRenderedPageBreak/>
              <w:t xml:space="preserve">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 Пунктом 13 розділу XVII ПРИКІНЦЕВІ ТА ПЕРЕХІДНІ ПОЛОЖЕННЯ Закону визначено, що 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 • 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 • упродовж трьох років з 1 січня 2019 року такий </w:t>
            </w:r>
            <w:proofErr w:type="spellStart"/>
            <w:r>
              <w:t>електропостачальник</w:t>
            </w:r>
            <w:proofErr w:type="spellEnd"/>
            <w:r>
              <w:t xml:space="preserve">,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 Упродовж строку виконання </w:t>
            </w:r>
            <w:proofErr w:type="spellStart"/>
            <w:r>
              <w:t>електропостачальником</w:t>
            </w:r>
            <w:proofErr w:type="spellEnd"/>
            <w:r>
              <w:t xml:space="preserve">, створеним у результаті здійснення заходів з відокремлення, функцій постачальника універсальних послуг: </w:t>
            </w:r>
            <w:r>
              <w:sym w:font="Symbol" w:char="F0FC"/>
            </w:r>
            <w:r>
              <w:t xml:space="preserve"> тариф на послуги постачальника універсальних послуг встановлюється Регулятором відповідно до затвердженої ним методики; </w:t>
            </w:r>
            <w:r>
              <w:sym w:font="Symbol" w:char="F0FC"/>
            </w:r>
            <w:r>
              <w:t xml:space="preserve"> 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статтею 62 цього Закону. На сайті Національної комісії, що здійснює державне регулювання у сферах енергетики та комунальних послуг розміщено інформацію згідно з якою про результати моніторингу виконання вертикально інтегрованими суб’єктами господарювання вимог пункту 13 розділу XVII «Прикінцеві та перехідні положення» Закону щодо створення відповідних суб’єктів господарювання, які отримали ліцензії з постачання електричної енергії споживачу, відповідно до вимог постанови НКРЕКП від 27.12.2017 № 1469, НКРЕКП було повідомлено Кабінет Міністрів України листом від 07.08.2018 № 7034/21.1/7-18. Також на сайті розміщено перелік </w:t>
            </w:r>
            <w:r>
              <w:lastRenderedPageBreak/>
              <w:t xml:space="preserve">суб’єктів господарювання, створених у результаті здійснення заходів з відокремлення. У переліку, зокрема, зазначено наступне: - Закріплена територія (область, місто), на якій до відокремлення провадив свою діяльність вертикально інтегрований суб’єкт господарювання: Чернівецька область; - Найменування вертикально інтегрованого суб’єкта господарювання, що здійснив заходи з відокремлення: АТ «ЧЕРНІВЦІОБЛЕНЕРГО»; - Найменування суб’єкта господарювання у результаті здійснення заходів з відокремлення: ТОВ «ЧЕРНІВЕЦЬКА ОБЛАСНА ЕНЕРГОПОСТАЧАЛЬНА КОМПАНІЯ». Також ТОВ «ЧЕРНІВЕЦЬКА ОБЛАСНА ЕНЕРГОПОСТАЧАЛЬНА КОМПАНІЯ» включена до Переліку постачальників універсальних послуг на закріпленій території, (додаток 3 до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 затверджених постановою НКРЕКП від 26.10.2018 № 1268). ТОВ «ЧЕРНІВЕЦЬКА ОБЛАСНА ЕНЕРГОПОСТАЧАЛЬНА КОМПАНІЯ» діє на підставі ліцензії на право провадження господарської діяльності з постачання електричної енергії споживачу виданої згідно з постановою НКРЕКП № 429 від 14.06.2018 року. Таким чином, постачання електричної енергії у формі універсальної послуги замовнику як малому непобутовому споживачу на території Чернівецької області, з урахуванням мінімізації витрат замовника на постачання електричної енергії та надійного і безперебійного постачання електричної енергії за економічно обґрунтованими, прозорими та недискримінаційними цінами, що формуються відповідно до методики (порядку), затвердженої Регулятором, може бути забезпечено лише одним суб’єктом господарювання – постачальником універсальних послуг, а саме ТОВ «ЧЕРНІВЕЦЬКА ОБЛАСНА ЕНЕРГОПОСТАЧАЛЬНА КОМПАНІЯ». Враховуючи законодавчо встановлене право замовника на отримання універсальної послуги та керуючись п.2 ч.2 ст.40 Закону України «Про публічні закупівлі», Замовником прийнято рішення про застосування, як виняток, переговорної процедури для закупівлі електричної енергії (код згідно з ДК 021:2015 09310000-5 Електрична енергія), оскільки даний товар саме як універсальну послугу може бути поставлено виключно певним суб’єктом господарювання, у зв’язку з відсутністю конкуренції з технічних причин. Застосування саме переговорної процедури (скороченої) регламентується частиною 7 ст. 40 Закону України «Про публічні закупівлі», а саме «замовник має </w:t>
            </w:r>
            <w:r>
              <w:lastRenderedPageBreak/>
              <w:t>право укласти договір про закупівлю за результатами застосування переговорної процедури закупівлі у строк не раніше ніж через п’ять днів - у разі закупівлі електричної енергії, послуг з її передання та розподілу».</w:t>
            </w:r>
          </w:p>
        </w:tc>
      </w:tr>
      <w:tr w:rsidR="00FB4DD9" w:rsidRPr="008A04FE" w:rsidTr="008A04FE">
        <w:tc>
          <w:tcPr>
            <w:tcW w:w="421" w:type="dxa"/>
          </w:tcPr>
          <w:p w:rsidR="00FB4DD9" w:rsidRPr="008A04FE" w:rsidRDefault="00FB4DD9">
            <w:pPr>
              <w:rPr>
                <w:rFonts w:ascii="Times New Roman" w:hAnsi="Times New Roman" w:cs="Times New Roman"/>
              </w:rPr>
            </w:pPr>
            <w:r w:rsidRPr="008A04FE">
              <w:rPr>
                <w:rFonts w:ascii="Times New Roman" w:hAnsi="Times New Roman" w:cs="Times New Roman"/>
              </w:rPr>
              <w:lastRenderedPageBreak/>
              <w:t>3</w:t>
            </w:r>
          </w:p>
        </w:tc>
        <w:tc>
          <w:tcPr>
            <w:tcW w:w="3969" w:type="dxa"/>
          </w:tcPr>
          <w:p w:rsidR="00FB4DD9" w:rsidRPr="008A04FE" w:rsidRDefault="008A04FE">
            <w:pPr>
              <w:rPr>
                <w:rFonts w:ascii="Times New Roman" w:hAnsi="Times New Roman" w:cs="Times New Roman"/>
                <w:b/>
              </w:rPr>
            </w:pPr>
            <w:r w:rsidRPr="008A04FE">
              <w:rPr>
                <w:rFonts w:ascii="Times New Roman" w:hAnsi="Times New Roman" w:cs="Times New Roman"/>
                <w:b/>
              </w:rPr>
              <w:t>Обґрунтування</w:t>
            </w:r>
            <w:r w:rsidR="00FB4DD9" w:rsidRPr="008A04FE">
              <w:rPr>
                <w:rFonts w:ascii="Times New Roman" w:hAnsi="Times New Roman" w:cs="Times New Roman"/>
                <w:b/>
              </w:rPr>
              <w:t xml:space="preserve"> очікуваної вартості предмета закупівлі, розміру бюджетного призначення</w:t>
            </w:r>
          </w:p>
        </w:tc>
        <w:tc>
          <w:tcPr>
            <w:tcW w:w="5103" w:type="dxa"/>
          </w:tcPr>
          <w:p w:rsidR="00FB4DD9" w:rsidRPr="008A04FE" w:rsidRDefault="005D637A" w:rsidP="008A04FE">
            <w:pPr>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260000,00 </w:t>
            </w:r>
            <w:r w:rsidR="002E2B03" w:rsidRPr="008A04FE">
              <w:rPr>
                <w:rFonts w:ascii="Times New Roman" w:eastAsia="Times New Roman" w:hAnsi="Times New Roman" w:cs="Times New Roman"/>
                <w:lang w:eastAsia="uk-UA"/>
              </w:rPr>
              <w:t xml:space="preserve">грн. </w:t>
            </w:r>
            <w:r w:rsidR="002F56F7" w:rsidRPr="008A04FE">
              <w:rPr>
                <w:rFonts w:ascii="Times New Roman" w:eastAsia="Times New Roman" w:hAnsi="Times New Roman" w:cs="Times New Roman"/>
                <w:lang w:eastAsia="uk-UA"/>
              </w:rPr>
              <w:t xml:space="preserve">з ПДВ </w:t>
            </w:r>
            <w:r w:rsidR="00710457" w:rsidRPr="008A04FE">
              <w:rPr>
                <w:rFonts w:ascii="Times New Roman" w:eastAsia="Times New Roman" w:hAnsi="Times New Roman" w:cs="Times New Roman"/>
                <w:lang w:eastAsia="uk-UA"/>
              </w:rPr>
              <w:t>відповідно до потреби та кошторисного призначення</w:t>
            </w:r>
            <w:r w:rsidR="00121684" w:rsidRPr="008A04FE">
              <w:rPr>
                <w:rFonts w:ascii="Times New Roman" w:eastAsia="Times New Roman" w:hAnsi="Times New Roman" w:cs="Times New Roman"/>
                <w:lang w:eastAsia="uk-UA"/>
              </w:rPr>
              <w:t xml:space="preserve"> </w:t>
            </w:r>
          </w:p>
        </w:tc>
      </w:tr>
      <w:bookmarkEnd w:id="0"/>
    </w:tbl>
    <w:p w:rsidR="00565437" w:rsidRPr="008A04FE" w:rsidRDefault="00565437">
      <w:pPr>
        <w:rPr>
          <w:rFonts w:ascii="Times New Roman" w:hAnsi="Times New Roman" w:cs="Times New Roman"/>
        </w:rPr>
      </w:pPr>
    </w:p>
    <w:tbl>
      <w:tblPr>
        <w:tblStyle w:val="a3"/>
        <w:tblW w:w="0" w:type="auto"/>
        <w:tblLook w:val="04A0" w:firstRow="1" w:lastRow="0" w:firstColumn="1" w:lastColumn="0" w:noHBand="0" w:noVBand="1"/>
      </w:tblPr>
      <w:tblGrid>
        <w:gridCol w:w="421"/>
        <w:gridCol w:w="3969"/>
        <w:gridCol w:w="5103"/>
      </w:tblGrid>
      <w:tr w:rsidR="00632B69" w:rsidRPr="008A04FE" w:rsidTr="005D637A">
        <w:tc>
          <w:tcPr>
            <w:tcW w:w="9493" w:type="dxa"/>
            <w:gridSpan w:val="3"/>
          </w:tcPr>
          <w:p w:rsidR="00632B69" w:rsidRPr="008A04FE" w:rsidRDefault="008A04FE" w:rsidP="008C2A48">
            <w:pPr>
              <w:jc w:val="center"/>
              <w:rPr>
                <w:rFonts w:ascii="Times New Roman" w:hAnsi="Times New Roman" w:cs="Times New Roman"/>
                <w:b/>
              </w:rPr>
            </w:pPr>
            <w:r w:rsidRPr="008A04FE">
              <w:rPr>
                <w:rFonts w:ascii="Times New Roman" w:hAnsi="Times New Roman" w:cs="Times New Roman"/>
                <w:b/>
              </w:rPr>
              <w:t>Обґрунтування</w:t>
            </w:r>
            <w:r w:rsidR="00632B69" w:rsidRPr="008A04FE">
              <w:rPr>
                <w:rFonts w:ascii="Times New Roman" w:hAnsi="Times New Roman" w:cs="Times New Roman"/>
                <w:b/>
              </w:rPr>
              <w:t xml:space="preserve"> технічних та якісних характеристик предмета закупівлі, розміру бюджетного призначення, очікуваної вартості предмета закупівлі</w:t>
            </w:r>
          </w:p>
        </w:tc>
      </w:tr>
      <w:tr w:rsidR="00632B69" w:rsidRPr="008A04FE" w:rsidTr="005D637A">
        <w:tc>
          <w:tcPr>
            <w:tcW w:w="421" w:type="dxa"/>
          </w:tcPr>
          <w:p w:rsidR="00632B69" w:rsidRPr="008A04FE" w:rsidRDefault="00632B69" w:rsidP="008C2A48">
            <w:pPr>
              <w:rPr>
                <w:rFonts w:ascii="Times New Roman" w:hAnsi="Times New Roman" w:cs="Times New Roman"/>
              </w:rPr>
            </w:pPr>
            <w:r w:rsidRPr="008A04FE">
              <w:rPr>
                <w:rFonts w:ascii="Times New Roman" w:hAnsi="Times New Roman" w:cs="Times New Roman"/>
              </w:rPr>
              <w:t>1</w:t>
            </w:r>
          </w:p>
        </w:tc>
        <w:tc>
          <w:tcPr>
            <w:tcW w:w="3969" w:type="dxa"/>
          </w:tcPr>
          <w:p w:rsidR="00632B69" w:rsidRPr="008A04FE" w:rsidRDefault="00632B69" w:rsidP="008C2A48">
            <w:pPr>
              <w:rPr>
                <w:rFonts w:ascii="Times New Roman" w:hAnsi="Times New Roman" w:cs="Times New Roman"/>
                <w:b/>
              </w:rPr>
            </w:pPr>
            <w:r w:rsidRPr="008A04FE">
              <w:rPr>
                <w:rFonts w:ascii="Times New Roman" w:hAnsi="Times New Roman" w:cs="Times New Roman"/>
                <w:b/>
              </w:rPr>
              <w:t>Назва предмета закупівлі</w:t>
            </w:r>
          </w:p>
        </w:tc>
        <w:tc>
          <w:tcPr>
            <w:tcW w:w="5103" w:type="dxa"/>
          </w:tcPr>
          <w:p w:rsidR="00632B69" w:rsidRPr="008A04FE" w:rsidRDefault="00E60225" w:rsidP="008C2A48">
            <w:pPr>
              <w:rPr>
                <w:rFonts w:ascii="Times New Roman" w:hAnsi="Times New Roman" w:cs="Times New Roman"/>
                <w:b/>
              </w:rPr>
            </w:pPr>
            <w:r>
              <w:rPr>
                <w:rFonts w:ascii="Times New Roman" w:eastAsia="Times New Roman" w:hAnsi="Times New Roman" w:cs="Times New Roman"/>
                <w:b/>
                <w:lang w:eastAsia="uk-UA"/>
              </w:rPr>
              <w:t>Електрична енергія («Остання надія» з 01.01. по 31.03.2021)</w:t>
            </w:r>
          </w:p>
        </w:tc>
      </w:tr>
      <w:tr w:rsidR="00632B69" w:rsidRPr="008A04FE" w:rsidTr="005D637A">
        <w:tc>
          <w:tcPr>
            <w:tcW w:w="421" w:type="dxa"/>
          </w:tcPr>
          <w:p w:rsidR="00632B69" w:rsidRPr="008A04FE" w:rsidRDefault="00632B69" w:rsidP="008C2A48">
            <w:pPr>
              <w:rPr>
                <w:rFonts w:ascii="Times New Roman" w:hAnsi="Times New Roman" w:cs="Times New Roman"/>
              </w:rPr>
            </w:pPr>
            <w:r w:rsidRPr="008A04FE">
              <w:rPr>
                <w:rFonts w:ascii="Times New Roman" w:hAnsi="Times New Roman" w:cs="Times New Roman"/>
              </w:rPr>
              <w:t>2</w:t>
            </w:r>
          </w:p>
        </w:tc>
        <w:tc>
          <w:tcPr>
            <w:tcW w:w="3969" w:type="dxa"/>
          </w:tcPr>
          <w:p w:rsidR="00632B69" w:rsidRPr="008A04FE" w:rsidRDefault="008A04FE" w:rsidP="008C2A48">
            <w:pPr>
              <w:rPr>
                <w:rFonts w:ascii="Times New Roman" w:hAnsi="Times New Roman" w:cs="Times New Roman"/>
                <w:b/>
              </w:rPr>
            </w:pPr>
            <w:r w:rsidRPr="008A04FE">
              <w:rPr>
                <w:rFonts w:ascii="Times New Roman" w:hAnsi="Times New Roman" w:cs="Times New Roman"/>
                <w:b/>
              </w:rPr>
              <w:t>Обґрунтування</w:t>
            </w:r>
            <w:r w:rsidR="00632B69" w:rsidRPr="008A04FE">
              <w:rPr>
                <w:rFonts w:ascii="Times New Roman" w:hAnsi="Times New Roman" w:cs="Times New Roman"/>
                <w:b/>
              </w:rPr>
              <w:t xml:space="preserve"> технічних та якісних характеристик предмета закупівлі</w:t>
            </w:r>
          </w:p>
        </w:tc>
        <w:tc>
          <w:tcPr>
            <w:tcW w:w="51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2"/>
              <w:gridCol w:w="135"/>
            </w:tblGrid>
            <w:tr w:rsidR="00B42692" w:rsidRPr="003B7B82" w:rsidTr="00E83ABD">
              <w:trPr>
                <w:tblCellSpacing w:w="15" w:type="dxa"/>
              </w:trPr>
              <w:tc>
                <w:tcPr>
                  <w:tcW w:w="0" w:type="auto"/>
                  <w:vAlign w:val="center"/>
                  <w:hideMark/>
                </w:tcPr>
                <w:p w:rsidR="00B42692" w:rsidRPr="003B7B82" w:rsidRDefault="00B42692" w:rsidP="00B42692">
                  <w:pPr>
                    <w:spacing w:after="0" w:line="240" w:lineRule="auto"/>
                    <w:jc w:val="both"/>
                    <w:rPr>
                      <w:rFonts w:ascii="Times New Roman" w:eastAsia="Times New Roman" w:hAnsi="Times New Roman" w:cs="Times New Roman"/>
                      <w:sz w:val="24"/>
                      <w:szCs w:val="24"/>
                      <w:lang w:eastAsia="uk-UA"/>
                    </w:rPr>
                  </w:pPr>
                  <w:r w:rsidRPr="003B7B82">
                    <w:rPr>
                      <w:rFonts w:ascii="Times New Roman" w:eastAsia="Times New Roman" w:hAnsi="Times New Roman" w:cs="Times New Roman"/>
                      <w:sz w:val="24"/>
                      <w:szCs w:val="24"/>
                      <w:lang w:eastAsia="uk-UA"/>
                    </w:rPr>
                    <w:t xml:space="preserve">Відповідно до Закону України від 13.04.2017 р. № 2019-VIII «Про ринок електричної енергії» (далі – Закон) передбачено, що постачання електричної енергії споживачам здійснюють юридичні особи – </w:t>
                  </w:r>
                  <w:proofErr w:type="spellStart"/>
                  <w:r w:rsidRPr="003B7B82">
                    <w:rPr>
                      <w:rFonts w:ascii="Times New Roman" w:eastAsia="Times New Roman" w:hAnsi="Times New Roman" w:cs="Times New Roman"/>
                      <w:sz w:val="24"/>
                      <w:szCs w:val="24"/>
                      <w:lang w:eastAsia="uk-UA"/>
                    </w:rPr>
                    <w:t>електропостачальники</w:t>
                  </w:r>
                  <w:proofErr w:type="spellEnd"/>
                  <w:r w:rsidRPr="003B7B82">
                    <w:rPr>
                      <w:rFonts w:ascii="Times New Roman" w:eastAsia="Times New Roman" w:hAnsi="Times New Roman" w:cs="Times New Roman"/>
                      <w:sz w:val="24"/>
                      <w:szCs w:val="24"/>
                      <w:lang w:eastAsia="uk-UA"/>
                    </w:rPr>
                    <w:t xml:space="preserve">, які обираються споживачами. Споживачі (крім побутових та малих непобутових споживачів), яким постачання здійснюється постачальником за регульованим тарифом, повинні обрати </w:t>
                  </w:r>
                  <w:proofErr w:type="spellStart"/>
                  <w:r w:rsidRPr="003B7B82">
                    <w:rPr>
                      <w:rFonts w:ascii="Times New Roman" w:eastAsia="Times New Roman" w:hAnsi="Times New Roman" w:cs="Times New Roman"/>
                      <w:sz w:val="24"/>
                      <w:szCs w:val="24"/>
                      <w:lang w:eastAsia="uk-UA"/>
                    </w:rPr>
                    <w:t>електропостачальника</w:t>
                  </w:r>
                  <w:proofErr w:type="spellEnd"/>
                  <w:r w:rsidRPr="003B7B82">
                    <w:rPr>
                      <w:rFonts w:ascii="Times New Roman" w:eastAsia="Times New Roman" w:hAnsi="Times New Roman" w:cs="Times New Roman"/>
                      <w:sz w:val="24"/>
                      <w:szCs w:val="24"/>
                      <w:lang w:eastAsia="uk-UA"/>
                    </w:rPr>
                    <w:t xml:space="preserve"> та укласти з ним договір про постачання електричної енергії. Якщо споживач не обрав </w:t>
                  </w:r>
                  <w:proofErr w:type="spellStart"/>
                  <w:r w:rsidRPr="003B7B82">
                    <w:rPr>
                      <w:rFonts w:ascii="Times New Roman" w:eastAsia="Times New Roman" w:hAnsi="Times New Roman" w:cs="Times New Roman"/>
                      <w:sz w:val="24"/>
                      <w:szCs w:val="24"/>
                      <w:lang w:eastAsia="uk-UA"/>
                    </w:rPr>
                    <w:t>електропостачальника</w:t>
                  </w:r>
                  <w:proofErr w:type="spellEnd"/>
                  <w:r w:rsidRPr="003B7B82">
                    <w:rPr>
                      <w:rFonts w:ascii="Times New Roman" w:eastAsia="Times New Roman" w:hAnsi="Times New Roman" w:cs="Times New Roman"/>
                      <w:sz w:val="24"/>
                      <w:szCs w:val="24"/>
                      <w:lang w:eastAsia="uk-UA"/>
                    </w:rPr>
                    <w:t xml:space="preserve">, постачання електричної енергії йому до 90 днів буде автоматично здійснювати постачальник «останньої надії», визначений на відповідній території відповідно до статті 64 Закону. Відповідно до підпункту четвертого пункту 3.4.2.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постачальник «останньої надії» надає послуги з постачання електричної енергії споживачам у разі необрання споживачем </w:t>
                  </w:r>
                  <w:proofErr w:type="spellStart"/>
                  <w:r w:rsidRPr="003B7B82">
                    <w:rPr>
                      <w:rFonts w:ascii="Times New Roman" w:eastAsia="Times New Roman" w:hAnsi="Times New Roman" w:cs="Times New Roman"/>
                      <w:sz w:val="24"/>
                      <w:szCs w:val="24"/>
                      <w:lang w:eastAsia="uk-UA"/>
                    </w:rPr>
                    <w:t>електропостачальника</w:t>
                  </w:r>
                  <w:proofErr w:type="spellEnd"/>
                  <w:r w:rsidRPr="003B7B82">
                    <w:rPr>
                      <w:rFonts w:ascii="Times New Roman" w:eastAsia="Times New Roman" w:hAnsi="Times New Roman" w:cs="Times New Roman"/>
                      <w:sz w:val="24"/>
                      <w:szCs w:val="24"/>
                      <w:lang w:eastAsia="uk-UA"/>
                    </w:rPr>
                    <w:t xml:space="preserve">, зокрема після розірвання (припинення) договору з попереднім </w:t>
                  </w:r>
                  <w:proofErr w:type="spellStart"/>
                  <w:r w:rsidRPr="003B7B82">
                    <w:rPr>
                      <w:rFonts w:ascii="Times New Roman" w:eastAsia="Times New Roman" w:hAnsi="Times New Roman" w:cs="Times New Roman"/>
                      <w:sz w:val="24"/>
                      <w:szCs w:val="24"/>
                      <w:lang w:eastAsia="uk-UA"/>
                    </w:rPr>
                    <w:t>електропостачальником</w:t>
                  </w:r>
                  <w:proofErr w:type="spellEnd"/>
                  <w:r w:rsidRPr="003B7B82">
                    <w:rPr>
                      <w:rFonts w:ascii="Times New Roman" w:eastAsia="Times New Roman" w:hAnsi="Times New Roman" w:cs="Times New Roman"/>
                      <w:sz w:val="24"/>
                      <w:szCs w:val="24"/>
                      <w:lang w:eastAsia="uk-UA"/>
                    </w:rPr>
                    <w:t xml:space="preserve">. Пунктом 6.2.6. ПРРЕЕ визначено, що якщо споживач до моменту його переведення на постачання електричної енергії до постачальника «останньої надії» не обрав </w:t>
                  </w:r>
                  <w:proofErr w:type="spellStart"/>
                  <w:r w:rsidRPr="003B7B82">
                    <w:rPr>
                      <w:rFonts w:ascii="Times New Roman" w:eastAsia="Times New Roman" w:hAnsi="Times New Roman" w:cs="Times New Roman"/>
                      <w:sz w:val="24"/>
                      <w:szCs w:val="24"/>
                      <w:lang w:eastAsia="uk-UA"/>
                    </w:rPr>
                    <w:t>електропостачальника</w:t>
                  </w:r>
                  <w:proofErr w:type="spellEnd"/>
                  <w:r w:rsidRPr="003B7B82">
                    <w:rPr>
                      <w:rFonts w:ascii="Times New Roman" w:eastAsia="Times New Roman" w:hAnsi="Times New Roman" w:cs="Times New Roman"/>
                      <w:sz w:val="24"/>
                      <w:szCs w:val="24"/>
                      <w:lang w:eastAsia="uk-UA"/>
                    </w:rPr>
                    <w:t xml:space="preserve">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комерційного обліку в одноденний термін переводить </w:t>
                  </w:r>
                  <w:r w:rsidRPr="003B7B82">
                    <w:rPr>
                      <w:rFonts w:ascii="Times New Roman" w:eastAsia="Times New Roman" w:hAnsi="Times New Roman" w:cs="Times New Roman"/>
                      <w:sz w:val="24"/>
                      <w:szCs w:val="24"/>
                      <w:lang w:eastAsia="uk-UA"/>
                    </w:rPr>
                    <w:lastRenderedPageBreak/>
                    <w:t>такого споживача на постачання електричної енергії постачальником «останньої надії». Розпорядженням Кабінету Міністрів України від 12 грудня 2018 року № 1023-р (зі змінами від 02 грудня 2020 року №1520-р) Державне підприємство зовнішньоекономічної діяльності «Укрінтеренерго» визначено постачальником «останньої надії» на період з 1 січня 2019 року до 31 грудня 2021 року. Постачання електричної енергії постачальником «останньої надії» здійснюється на строк, який не може перевищувати 90 календарних днів. Ціна, за якою здійснюється постачання електричної енергії споживачам постачальником «останньої надії», розраховується 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 Станом на 01.01.2021 року ГУ ДПС у Чернівецькій області не було укладено договір на постачання електричної енергії, а строк дії договору з попереднім постачальником закінчився, відповідно до Закону та пунктом 6.2.6 ПРРЕЕ, об’єкти енергоспоживання замовника було автоматично переведено на постачання електричної енергії постачальником «останньої надії» - Державним підприємством зовнішньоекономічної діяльності «Укрінтеренерго». Вищезазначене є підставою для застосування переговорної процедури скороченої відповідно до абзацу шостого пункту 2 частини другої статті 40 Закону України «Про публічні закупівлі», а саме: укладення договору з постачальником «останньої надії» на постачання електричної енергії.</w:t>
                  </w:r>
                </w:p>
              </w:tc>
              <w:tc>
                <w:tcPr>
                  <w:tcW w:w="0" w:type="auto"/>
                  <w:vAlign w:val="center"/>
                  <w:hideMark/>
                </w:tcPr>
                <w:p w:rsidR="00B42692" w:rsidRPr="003B7B82" w:rsidRDefault="00B42692" w:rsidP="00B42692">
                  <w:pPr>
                    <w:spacing w:after="0" w:line="240" w:lineRule="auto"/>
                    <w:jc w:val="both"/>
                    <w:rPr>
                      <w:rFonts w:ascii="Times New Roman" w:eastAsia="Times New Roman" w:hAnsi="Times New Roman" w:cs="Times New Roman"/>
                      <w:sz w:val="24"/>
                      <w:szCs w:val="24"/>
                      <w:lang w:eastAsia="uk-UA"/>
                    </w:rPr>
                  </w:pPr>
                  <w:r w:rsidRPr="003B7B82">
                    <w:rPr>
                      <w:rFonts w:ascii="Times New Roman" w:eastAsia="Times New Roman" w:hAnsi="Times New Roman" w:cs="Times New Roman"/>
                      <w:sz w:val="24"/>
                      <w:szCs w:val="24"/>
                      <w:lang w:eastAsia="uk-UA"/>
                    </w:rPr>
                    <w:lastRenderedPageBreak/>
                    <w:t> </w:t>
                  </w:r>
                </w:p>
              </w:tc>
            </w:tr>
          </w:tbl>
          <w:p w:rsidR="00632B69" w:rsidRPr="008A04FE" w:rsidRDefault="00632B69" w:rsidP="00B42692">
            <w:pPr>
              <w:jc w:val="both"/>
              <w:rPr>
                <w:rFonts w:ascii="Times New Roman" w:hAnsi="Times New Roman" w:cs="Times New Roman"/>
                <w:b/>
              </w:rPr>
            </w:pPr>
          </w:p>
        </w:tc>
      </w:tr>
      <w:tr w:rsidR="00632B69" w:rsidRPr="008A04FE" w:rsidTr="005D637A">
        <w:tc>
          <w:tcPr>
            <w:tcW w:w="421" w:type="dxa"/>
          </w:tcPr>
          <w:p w:rsidR="00632B69" w:rsidRPr="008A04FE" w:rsidRDefault="00632B69" w:rsidP="008C2A48">
            <w:pPr>
              <w:rPr>
                <w:rFonts w:ascii="Times New Roman" w:hAnsi="Times New Roman" w:cs="Times New Roman"/>
              </w:rPr>
            </w:pPr>
            <w:r w:rsidRPr="008A04FE">
              <w:rPr>
                <w:rFonts w:ascii="Times New Roman" w:hAnsi="Times New Roman" w:cs="Times New Roman"/>
              </w:rPr>
              <w:lastRenderedPageBreak/>
              <w:t>3</w:t>
            </w:r>
          </w:p>
        </w:tc>
        <w:tc>
          <w:tcPr>
            <w:tcW w:w="3969" w:type="dxa"/>
          </w:tcPr>
          <w:p w:rsidR="00632B69" w:rsidRPr="008A04FE" w:rsidRDefault="008A04FE" w:rsidP="008C2A48">
            <w:pPr>
              <w:rPr>
                <w:rFonts w:ascii="Times New Roman" w:hAnsi="Times New Roman" w:cs="Times New Roman"/>
                <w:b/>
              </w:rPr>
            </w:pPr>
            <w:r w:rsidRPr="008A04FE">
              <w:rPr>
                <w:rFonts w:ascii="Times New Roman" w:hAnsi="Times New Roman" w:cs="Times New Roman"/>
                <w:b/>
              </w:rPr>
              <w:t>Обґрунтування</w:t>
            </w:r>
            <w:r w:rsidR="00632B69" w:rsidRPr="008A04FE">
              <w:rPr>
                <w:rFonts w:ascii="Times New Roman" w:hAnsi="Times New Roman" w:cs="Times New Roman"/>
                <w:b/>
              </w:rPr>
              <w:t xml:space="preserve"> очікуваної вартості предмета закупівлі, розміру бюджетного призначення</w:t>
            </w:r>
          </w:p>
        </w:tc>
        <w:tc>
          <w:tcPr>
            <w:tcW w:w="5103" w:type="dxa"/>
          </w:tcPr>
          <w:p w:rsidR="00632B69" w:rsidRPr="008A04FE" w:rsidRDefault="00E60225" w:rsidP="008A04FE">
            <w:pPr>
              <w:jc w:val="both"/>
              <w:rPr>
                <w:rFonts w:ascii="Times New Roman" w:eastAsia="Times New Roman" w:hAnsi="Times New Roman" w:cs="Times New Roman"/>
                <w:lang w:eastAsia="uk-UA"/>
              </w:rPr>
            </w:pPr>
            <w:r>
              <w:rPr>
                <w:rFonts w:ascii="Times New Roman" w:eastAsia="Times New Roman" w:hAnsi="Times New Roman" w:cs="Times New Roman"/>
                <w:lang w:eastAsia="uk-UA"/>
              </w:rPr>
              <w:t>343106,00</w:t>
            </w:r>
            <w:r w:rsidR="00632B69" w:rsidRPr="008A04FE">
              <w:rPr>
                <w:rFonts w:ascii="Times New Roman" w:eastAsia="Times New Roman" w:hAnsi="Times New Roman" w:cs="Times New Roman"/>
                <w:lang w:eastAsia="uk-UA"/>
              </w:rPr>
              <w:t xml:space="preserve"> грн. з ПДВ відповідно до потреби та кошторисного призначення </w:t>
            </w:r>
          </w:p>
        </w:tc>
      </w:tr>
    </w:tbl>
    <w:p w:rsidR="00632B69" w:rsidRPr="008A04FE" w:rsidRDefault="00632B69">
      <w:pPr>
        <w:rPr>
          <w:rFonts w:ascii="Times New Roman" w:hAnsi="Times New Roman" w:cs="Times New Roman"/>
        </w:rPr>
      </w:pPr>
      <w:bookmarkStart w:id="1" w:name="_GoBack"/>
      <w:bookmarkEnd w:id="1"/>
    </w:p>
    <w:sectPr w:rsidR="00632B69" w:rsidRPr="008A04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D9"/>
    <w:rsid w:val="00003053"/>
    <w:rsid w:val="0004723F"/>
    <w:rsid w:val="000A74A3"/>
    <w:rsid w:val="000C715B"/>
    <w:rsid w:val="000F360F"/>
    <w:rsid w:val="00105DF4"/>
    <w:rsid w:val="00121684"/>
    <w:rsid w:val="00132CF2"/>
    <w:rsid w:val="001C4A3B"/>
    <w:rsid w:val="001D397F"/>
    <w:rsid w:val="00235E7B"/>
    <w:rsid w:val="002A642C"/>
    <w:rsid w:val="002E2B03"/>
    <w:rsid w:val="002F56F7"/>
    <w:rsid w:val="00480FE0"/>
    <w:rsid w:val="00483D91"/>
    <w:rsid w:val="004E21DD"/>
    <w:rsid w:val="00510A1E"/>
    <w:rsid w:val="00565437"/>
    <w:rsid w:val="005D637A"/>
    <w:rsid w:val="00632B69"/>
    <w:rsid w:val="00701BD1"/>
    <w:rsid w:val="00710457"/>
    <w:rsid w:val="008A04FE"/>
    <w:rsid w:val="008D5CF0"/>
    <w:rsid w:val="00915271"/>
    <w:rsid w:val="00996ECE"/>
    <w:rsid w:val="00A45673"/>
    <w:rsid w:val="00B42692"/>
    <w:rsid w:val="00BA1C33"/>
    <w:rsid w:val="00C344C2"/>
    <w:rsid w:val="00DD1E82"/>
    <w:rsid w:val="00E60225"/>
    <w:rsid w:val="00F77727"/>
    <w:rsid w:val="00F81DC4"/>
    <w:rsid w:val="00FB4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0D79-88A5-44EB-942A-E7AAC65E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7447</Words>
  <Characters>4246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2021-02-10T06:59:00Z</cp:lastPrinted>
  <dcterms:created xsi:type="dcterms:W3CDTF">2021-03-25T11:48:00Z</dcterms:created>
  <dcterms:modified xsi:type="dcterms:W3CDTF">2021-03-29T10:24:00Z</dcterms:modified>
</cp:coreProperties>
</file>